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黑体" w:hAnsi="黑体" w:eastAsia="黑体"/>
          <w:b/>
          <w:sz w:val="30"/>
        </w:rPr>
        <w:t>Personal Statement</w:t>
      </w:r>
    </w:p>
    <w:p>
      <w:pPr>
        <w:spacing w:after="160"/>
        <w:jc w:val="center"/>
      </w:pPr>
      <w:r>
        <w:rPr>
          <w:sz w:val="21"/>
        </w:rPr>
        <w:t>Xijia Ye  |  B.Eng. Candidate, Intelligent Science and Technology</w:t>
        <w:br/>
        <w:t>Guilin University of Electronic Technology</w:t>
      </w:r>
    </w:p>
    <w:p>
      <w:pPr>
        <w:spacing w:line="324" w:lineRule="auto" w:after="120"/>
        <w:ind w:firstLine="400"/>
      </w:pPr>
      <w:r>
        <w:rPr>
          <w:sz w:val="22"/>
        </w:rPr>
        <w:t>My research ambition is to make large language models genuinely understand and align with human intent. As an undergraduate majoring in Intelligent Science and Technology, I have built a solid foundation in artificial intelligence, machine learning, data structures and operating systems, while ranking 2nd out of 96 students (top 2%) in my major. Beyond coursework, I am driven by the question of how models infer intent, learn human preferences, and behave trustworthily in open environments—a thread that runs through all of my research.</w:t>
      </w:r>
    </w:p>
    <w:p>
      <w:pPr>
        <w:spacing w:line="324" w:lineRule="auto" w:after="120"/>
        <w:ind w:firstLine="400"/>
      </w:pPr>
      <w:r>
        <w:rPr>
          <w:sz w:val="22"/>
        </w:rPr>
        <w:t>My representative work, iCoLoc, was accepted by APWeb-WAIM 2026 (a CCF-C international conference), where I delivered an oral presentation in English in Da Nang, Vietnam, on September 8, 2026. As the first author, I addressed the cold-start problem in spatial co-location pattern mining: a large language model parses natural-language queries into initial user vectors, a Join-Base method mines candidate patterns, and a contrastive preference-learning re-ranker I designed (PreferenceEncoder, 384-256-384, triplet margin 0.3) iteratively models user preferences from feedback. On a Beijing POI dataset (4,592 instances, 16 categories), ranking accuracy improved from 0.80/0.86 to 0.98.</w:t>
      </w:r>
    </w:p>
    <w:p>
      <w:pPr>
        <w:spacing w:line="324" w:lineRule="auto" w:after="120"/>
        <w:ind w:firstLine="400"/>
      </w:pPr>
      <w:r>
        <w:rPr>
          <w:sz w:val="22"/>
        </w:rPr>
        <w:t>This experience revealed to me a deep connection between personalized ranking and LLM alignment: both aim to make model outputs faithfully reflect human preferences. This insight motivated me to study post-training and alignment methods over the summer, including RLHF, DPO and GRPO, with a particular interest in trustworthy and safe LLM agents.</w:t>
      </w:r>
    </w:p>
    <w:p>
      <w:pPr>
        <w:spacing w:line="324" w:lineRule="auto" w:after="120"/>
        <w:ind w:firstLine="400"/>
      </w:pPr>
      <w:r>
        <w:rPr>
          <w:sz w:val="22"/>
        </w:rPr>
        <w:t>I also possess end-to-end engineering capability. I built a lightweight local retrieval-augmented generation system using a self-built SQLite-vec vector store with nomic-embed-text-v1.5, combining dense (cosine) and sparse (jieba + Jaccard) retrieval through RRF fusion, followed by LLM relevance re-ranking and semantic-boundary chunking; it reached about 65% Top-3 and 85% Top-7 accuracy with 2-5 s latency, and is open-sourced. On the OpenClaw framework I further developed a personalized agent with prompt-based persona control, long-term RAG memory and a multi-agent workflow for literature review and exam preparation. During my internship at Nanjing TRS, I used Python and SQL to analyze survey and e-commerce behavior data, which sharpened my data-driven thinking.</w:t>
      </w:r>
    </w:p>
    <w:p>
      <w:pPr>
        <w:spacing w:line="324" w:lineRule="auto" w:after="120"/>
        <w:ind w:firstLine="400"/>
      </w:pPr>
      <w:r>
        <w:rPr>
          <w:sz w:val="22"/>
        </w:rPr>
        <w:t>If admitted, I plan to spend the first year strengthening advanced machine learning, optimization and the theory of large models while reading top-tier papers (NeurIPS, ICML, ACL, KDD), and to launch a concrete project on preference alignment or LLM agents as early as possible. In the second year I aim to conduct deep research on trustworthy alignment, personalization and safety of LLM agents, and to pursue a research internship at a leading lab or company; in the final year I will complete a high-quality thesis and consider pursuing a Ph.D.</w:t>
      </w:r>
    </w:p>
    <w:p>
      <w:pPr>
        <w:spacing w:line="324" w:lineRule="auto" w:after="120"/>
        <w:ind w:firstLine="400"/>
      </w:pPr>
      <w:r>
        <w:rPr>
          <w:sz w:val="22"/>
        </w:rPr>
        <w:t>Beyond academics, I won the National Second Prize in the Lanqiao Cup Python Programming Competition (University Group B) and led an autonomous-region-level innovation training project to completion. I am eager to devote myself to LLM agents, preference alignment and trustworthy AI, and I am prepared to invest long, focused hours to grow into an independent researcher. I would be deeply honored to have the opportunity to pursue my graduate studies at your esteemed school.</w:t>
      </w:r>
    </w:p>
    <w:p>
      <w:pPr>
        <w:jc w:val="right"/>
      </w:pPr>
      <w:r>
        <w:rPr>
          <w:sz w:val="21"/>
        </w:rPr>
        <w:t>Xijia Ye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