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8"/>
        </w:rPr>
        <w:t>ISAIR 2026 演示视频 · PPT 制作指南</w:t>
      </w:r>
    </w:p>
    <w:p>
      <w:pPr>
        <w:jc w:val="center"/>
      </w:pPr>
      <w:r>
        <w:rPr>
          <w:color w:val="666666"/>
          <w:sz w:val="22"/>
        </w:rPr>
        <w:t>Paper ID 105 · Scale-Specialized Directional-Channel Attention</w:t>
        <w:br/>
        <w:t>for Tunnel Defect Detection</w:t>
      </w:r>
    </w:p>
    <w:p>
      <w:pPr>
        <w:jc w:val="center"/>
      </w:pPr>
      <w:r>
        <w:rPr>
          <w:b/>
          <w:color w:val="C00000"/>
          <w:sz w:val="22"/>
        </w:rPr>
        <w:t>提交截止：2026 年 8 月 18 日</w:t>
      </w:r>
    </w:p>
    <w:p/>
    <w:p>
      <w:pPr>
        <w:spacing w:before="240" w:after="120"/>
      </w:pPr>
      <w:r>
        <w:rPr>
          <w:rFonts w:ascii="Times New Roman" w:hAnsi="Times New Roman" w:eastAsia="微软雅黑"/>
          <w:b/>
          <w:color w:val="1F4E79"/>
          <w:sz w:val="30"/>
        </w:rPr>
        <w:t>一、提交规格（硬性要求）</w:t>
      </w:r>
    </w:p>
    <w:p>
      <w:pPr>
        <w:spacing w:after="80"/>
      </w:pPr>
      <w:r>
        <w:rPr>
          <w:b w:val="0"/>
          <w:color w:val="C00000"/>
          <w:sz w:val="21"/>
        </w:rPr>
        <w:t>组委会明确说明：超时长、超文件大小或格式不符的视频可能不被接收。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19"/>
              </w:rPr>
              <w:t>项目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19"/>
              </w:rPr>
              <w:t>要求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时长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最长 5 分钟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格式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MP4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文件大小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最大 50 MB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宽高比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16:9（推荐）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文件名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105_Video.mp4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提交邮箱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isair_video@126.com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邮件主题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ISAIR 2026 Video Submission_105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截止日期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2026 年 8 月 18 日</w:t>
            </w:r>
          </w:p>
        </w:tc>
      </w:tr>
    </w:tbl>
    <w:p>
      <w:pPr>
        <w:spacing w:after="40"/>
      </w:pPr>
    </w:p>
    <w:p>
      <w:pPr>
        <w:spacing w:before="240" w:after="120"/>
      </w:pPr>
      <w:r>
        <w:rPr>
          <w:rFonts w:ascii="Times New Roman" w:hAnsi="Times New Roman" w:eastAsia="微软雅黑"/>
          <w:b/>
          <w:color w:val="1F4E79"/>
          <w:sz w:val="30"/>
        </w:rPr>
        <w:t>二、总体设计原则</w:t>
      </w:r>
    </w:p>
    <w:p>
      <w:pPr>
        <w:pStyle w:val="ListBullet"/>
        <w:spacing w:after="40"/>
        <w:ind w:left="360"/>
      </w:pPr>
      <w:r>
        <w:rPr>
          <w:sz w:val="21"/>
        </w:rPr>
        <w:t>共 10 页，按 4 分 40 秒设计，留 20 秒缓冲</w:t>
      </w:r>
    </w:p>
    <w:p>
      <w:pPr>
        <w:pStyle w:val="ListBullet"/>
        <w:spacing w:after="40"/>
        <w:ind w:left="360"/>
      </w:pPr>
      <w:r>
        <w:rPr>
          <w:sz w:val="21"/>
        </w:rPr>
        <w:t>字号不低于 24 pt —— 视频压缩后小字会模糊</w:t>
      </w:r>
    </w:p>
    <w:p>
      <w:pPr>
        <w:pStyle w:val="ListBullet"/>
        <w:spacing w:after="40"/>
        <w:ind w:left="360"/>
      </w:pPr>
      <w:r>
        <w:rPr>
          <w:sz w:val="21"/>
        </w:rPr>
        <w:t>一页只讲一个信息点，不要堆内容</w:t>
      </w:r>
    </w:p>
    <w:p>
      <w:pPr>
        <w:pStyle w:val="ListBullet"/>
        <w:spacing w:after="40"/>
        <w:ind w:left="360"/>
      </w:pPr>
      <w:r>
        <w:rPr>
          <w:sz w:val="21"/>
        </w:rPr>
        <w:t>不要加转场动画：压缩后容易掉帧，还占文件体积</w:t>
      </w:r>
    </w:p>
    <w:p>
      <w:pPr>
        <w:pStyle w:val="ListBullet"/>
        <w:spacing w:after="40"/>
        <w:ind w:left="360"/>
      </w:pPr>
      <w:r>
        <w:rPr>
          <w:sz w:val="21"/>
        </w:rPr>
        <w:t>不讲完整论文，只讲一条主线：发现现象 → 解释原因 → 验证结论</w:t>
      </w:r>
    </w:p>
    <w:p>
      <w:pPr>
        <w:spacing w:before="240" w:after="120"/>
      </w:pPr>
      <w:r>
        <w:rPr>
          <w:rFonts w:ascii="Times New Roman" w:hAnsi="Times New Roman" w:eastAsia="微软雅黑"/>
          <w:b/>
          <w:color w:val="1F4E79"/>
          <w:sz w:val="30"/>
        </w:rPr>
        <w:t>三、逐页脚本</w:t>
      </w:r>
    </w:p>
    <w:p>
      <w:pPr>
        <w:spacing w:before="200" w:after="80"/>
      </w:pPr>
      <w:r>
        <w:rPr>
          <w:rFonts w:ascii="Times New Roman" w:hAnsi="Times New Roman" w:eastAsia="微软雅黑"/>
          <w:b/>
          <w:color w:val="2E74B5"/>
          <w:sz w:val="25"/>
        </w:rPr>
        <w:t>P1 · 封面（15 秒）</w:t>
      </w:r>
    </w:p>
    <w:p>
      <w:pPr>
        <w:spacing w:before="80" w:after="120" w:line="276" w:lineRule="auto"/>
        <w:ind w:left="280"/>
      </w:pPr>
      <w:r>
        <w:rPr>
          <w:rFonts w:ascii="Consolas" w:hAnsi="Consolas"/>
          <w:color w:val="444444"/>
          <w:sz w:val="18"/>
        </w:rPr>
        <w:t>Scale-Specialized Directional-Channel Attention</w:t>
        <w:br/>
        <w:t>for Tunnel Defect Detection</w:t>
        <w:br/>
        <w:br/>
        <w:t>Xinran Xu, Xijia Ye, Rui Yang, Yong Tao</w:t>
        <w:br/>
        <w:t>Guilin University of Electronic Technology</w:t>
        <w:br/>
        <w:t>University of Exeter</w:t>
        <w:br/>
        <w:br/>
        <w:t>ISAIR 2026 · Paper ID 105</w:t>
      </w:r>
    </w:p>
    <w:p>
      <w:pPr>
        <w:spacing w:after="80"/>
      </w:pPr>
      <w:r>
        <w:rPr>
          <w:b/>
          <w:sz w:val="21"/>
        </w:rPr>
        <w:t>口播：</w:t>
      </w:r>
    </w:p>
    <w:p>
      <w:pPr>
        <w:spacing w:after="120"/>
        <w:ind w:left="400"/>
      </w:pPr>
      <w:r>
        <w:rPr>
          <w:i/>
          <w:color w:val="555555"/>
          <w:sz w:val="20"/>
        </w:rPr>
        <w:t>"Hello, I'm Xijia Ye from Guilin University of Electronic Technology. Today I'll present our work on scale-specialized attention for tunnel defect detection."</w:t>
      </w:r>
    </w:p>
    <w:p>
      <w:pPr>
        <w:spacing w:after="80"/>
      </w:pPr>
      <w:r>
        <w:rPr>
          <w:b w:val="0"/>
          <w:color w:val="C00000"/>
          <w:sz w:val="21"/>
        </w:rPr>
        <w:t>注意：必须报出自己的姓名和单位，这是会议视频的基本礼节。</w:t>
      </w:r>
    </w:p>
    <w:p>
      <w:pPr>
        <w:spacing w:before="200" w:after="80"/>
      </w:pPr>
      <w:r>
        <w:rPr>
          <w:rFonts w:ascii="Times New Roman" w:hAnsi="Times New Roman" w:eastAsia="微软雅黑"/>
          <w:b/>
          <w:color w:val="2E74B5"/>
          <w:sz w:val="25"/>
        </w:rPr>
        <w:t>P2 · 问题背景（25 秒）</w:t>
      </w:r>
    </w:p>
    <w:p>
      <w:pPr>
        <w:spacing w:after="80"/>
      </w:pPr>
      <w:r>
        <w:rPr>
          <w:b w:val="0"/>
          <w:sz w:val="21"/>
        </w:rPr>
        <w:t>画面：一张隧道裂缝图，用箭头或框标注出细长的裂缝。</w:t>
      </w:r>
    </w:p>
    <w:p>
      <w:pPr>
        <w:spacing w:after="80"/>
      </w:pPr>
      <w:r>
        <w:rPr>
          <w:b/>
          <w:sz w:val="21"/>
        </w:rPr>
        <w:t>要点：</w:t>
      </w:r>
    </w:p>
    <w:p>
      <w:pPr>
        <w:pStyle w:val="ListBullet"/>
        <w:spacing w:after="40"/>
        <w:ind w:left="360"/>
      </w:pPr>
      <w:r>
        <w:rPr>
          <w:sz w:val="21"/>
        </w:rPr>
        <w:t>隧道衬砌检测是基础设施维护的关键任务</w:t>
      </w:r>
    </w:p>
    <w:p>
      <w:pPr>
        <w:pStyle w:val="ListBullet"/>
        <w:spacing w:after="40"/>
        <w:ind w:left="360"/>
      </w:pPr>
      <w:r>
        <w:rPr>
          <w:sz w:val="21"/>
        </w:rPr>
        <w:t>裂缝形态特殊：细、长、具有方向性（anisotropic）</w:t>
      </w:r>
    </w:p>
    <w:p>
      <w:pPr>
        <w:pStyle w:val="ListBullet"/>
        <w:spacing w:after="40"/>
        <w:ind w:left="360"/>
      </w:pPr>
      <w:r>
        <w:rPr>
          <w:sz w:val="21"/>
        </w:rPr>
        <w:t>通用目标检测器针对紧凑物体设计，对这种形状不友好</w:t>
      </w:r>
    </w:p>
    <w:p>
      <w:pPr>
        <w:spacing w:after="80"/>
      </w:pPr>
      <w:r>
        <w:rPr>
          <w:b/>
          <w:sz w:val="21"/>
        </w:rPr>
        <w:t>口播落点：</w:t>
      </w:r>
    </w:p>
    <w:p>
      <w:pPr>
        <w:spacing w:after="120"/>
        <w:ind w:left="400"/>
      </w:pPr>
      <w:r>
        <w:rPr>
          <w:i/>
          <w:color w:val="555555"/>
          <w:sz w:val="20"/>
        </w:rPr>
        <w:t>"Cracks are thin, elongated, and directional — very different from the compact objects general detectors are designed for."</w:t>
      </w:r>
    </w:p>
    <w:p>
      <w:pPr>
        <w:spacing w:before="200" w:after="80"/>
      </w:pPr>
      <w:r>
        <w:rPr>
          <w:rFonts w:ascii="Times New Roman" w:hAnsi="Times New Roman" w:eastAsia="微软雅黑"/>
          <w:b/>
          <w:color w:val="2E74B5"/>
          <w:sz w:val="25"/>
        </w:rPr>
        <w:t>P3 · 现有做法的盲点（30 秒）★ 关键页</w:t>
      </w:r>
    </w:p>
    <w:p>
      <w:pPr>
        <w:spacing w:after="80"/>
      </w:pPr>
      <w:r>
        <w:rPr>
          <w:b/>
          <w:sz w:val="21"/>
        </w:rPr>
        <w:t>要点：</w:t>
      </w:r>
    </w:p>
    <w:p>
      <w:pPr>
        <w:pStyle w:val="ListBullet"/>
        <w:spacing w:after="40"/>
        <w:ind w:left="360"/>
      </w:pPr>
      <w:r>
        <w:rPr>
          <w:sz w:val="21"/>
        </w:rPr>
        <w:t>现有方法把注意力模块均匀插在所有金字塔层（scale-uniform）</w:t>
      </w:r>
    </w:p>
    <w:p>
      <w:pPr>
        <w:pStyle w:val="ListBullet"/>
        <w:spacing w:after="40"/>
        <w:ind w:left="360"/>
      </w:pPr>
      <w:r>
        <w:rPr>
          <w:sz w:val="21"/>
        </w:rPr>
        <w:t>但 P3 与 P4 承担的任务根本不同：</w:t>
      </w:r>
    </w:p>
    <w:p>
      <w:pPr>
        <w:pStyle w:val="ListBullet"/>
        <w:spacing w:after="40"/>
        <w:ind w:left="680"/>
      </w:pPr>
      <w:r>
        <w:rPr>
          <w:sz w:val="21"/>
        </w:rPr>
        <w:t>P3（80×80）保留空间细节 → 适合空间结构建模</w:t>
      </w:r>
    </w:p>
    <w:p>
      <w:pPr>
        <w:pStyle w:val="ListBullet"/>
        <w:spacing w:after="40"/>
        <w:ind w:left="680"/>
      </w:pPr>
      <w:r>
        <w:rPr>
          <w:sz w:val="21"/>
        </w:rPr>
        <w:t>P4（40×40）语义信息更强 → 适合通道重校准</w:t>
      </w:r>
    </w:p>
    <w:p>
      <w:pPr>
        <w:pStyle w:val="ListBullet"/>
        <w:spacing w:after="40"/>
        <w:ind w:left="360"/>
      </w:pPr>
      <w:r>
        <w:rPr>
          <w:sz w:val="21"/>
        </w:rPr>
        <w:t>我们的论点：attention should be scale-specialized, not scale-uniform</w:t>
      </w:r>
    </w:p>
    <w:p>
      <w:pPr>
        <w:spacing w:after="80"/>
      </w:pPr>
      <w:r>
        <w:rPr>
          <w:b/>
          <w:sz w:val="21"/>
        </w:rPr>
        <w:t>口播落点：</w:t>
      </w:r>
    </w:p>
    <w:p>
      <w:pPr>
        <w:spacing w:after="120"/>
        <w:ind w:left="400"/>
      </w:pPr>
      <w:r>
        <w:rPr>
          <w:i/>
          <w:color w:val="555555"/>
          <w:sz w:val="20"/>
        </w:rPr>
        <w:t>"This uniformity ignores a fundamental insight: different pyramid levels are responsible for objects of different scales and morphologies."</w:t>
      </w:r>
    </w:p>
    <w:p>
      <w:pPr>
        <w:spacing w:after="80"/>
      </w:pPr>
      <w:r>
        <w:rPr>
          <w:b w:val="0"/>
          <w:color w:val="C00000"/>
          <w:sz w:val="21"/>
        </w:rPr>
        <w:t>这页是全篇立论点，语速放慢。</w:t>
      </w:r>
    </w:p>
    <w:p>
      <w:pPr>
        <w:spacing w:before="200" w:after="80"/>
      </w:pPr>
      <w:r>
        <w:rPr>
          <w:rFonts w:ascii="Times New Roman" w:hAnsi="Times New Roman" w:eastAsia="微软雅黑"/>
          <w:b/>
          <w:color w:val="2E74B5"/>
          <w:sz w:val="25"/>
        </w:rPr>
        <w:t>P4 · CODA 模块结构（35 秒）</w:t>
      </w:r>
    </w:p>
    <w:p>
      <w:pPr>
        <w:spacing w:after="80"/>
      </w:pPr>
      <w:r>
        <w:rPr>
          <w:b w:val="0"/>
          <w:sz w:val="21"/>
        </w:rPr>
        <w:t>画面：结构图 —— 输入 → 四个方向深度卷积（水平 / 垂直 / 两条对角）→ concat → 1×1 卷积 → sigmoid → 与输入相乘。</w:t>
      </w:r>
    </w:p>
    <w:p>
      <w:pPr>
        <w:spacing w:after="80"/>
      </w:pPr>
      <w:r>
        <w:rPr>
          <w:b/>
          <w:sz w:val="21"/>
        </w:rPr>
        <w:t>要点：</w:t>
      </w:r>
    </w:p>
    <w:p>
      <w:pPr>
        <w:pStyle w:val="ListBullet"/>
        <w:spacing w:after="40"/>
        <w:ind w:left="360"/>
      </w:pPr>
      <w:r>
        <w:rPr>
          <w:sz w:val="21"/>
        </w:rPr>
        <w:t>四个 oriented depthwise convolutions，卷积核 K = 7</w:t>
      </w:r>
    </w:p>
    <w:p>
      <w:pPr>
        <w:pStyle w:val="ListBullet"/>
        <w:spacing w:after="40"/>
        <w:ind w:left="360"/>
      </w:pPr>
      <w:r>
        <w:rPr>
          <w:sz w:val="21"/>
        </w:rPr>
        <w:t>使用对角图案初始化（非随机初始化）→ 提供强方向性归纳偏置</w:t>
      </w:r>
    </w:p>
    <w:p>
      <w:pPr>
        <w:pStyle w:val="ListBullet"/>
        <w:spacing w:after="40"/>
        <w:ind w:left="360"/>
      </w:pPr>
      <w:r>
        <w:rPr>
          <w:sz w:val="21"/>
        </w:rPr>
        <w:t>sigmoid 有界门控 → 训练过程稳定</w:t>
      </w:r>
    </w:p>
    <w:p>
      <w:pPr>
        <w:spacing w:after="80"/>
      </w:pPr>
      <w:r>
        <w:rPr>
          <w:b/>
          <w:sz w:val="21"/>
        </w:rPr>
        <w:t>公式（只放这一条即可）：</w:t>
      </w:r>
    </w:p>
    <w:p>
      <w:pPr>
        <w:spacing w:before="80" w:after="120" w:line="276" w:lineRule="auto"/>
        <w:ind w:left="280"/>
      </w:pPr>
      <w:r>
        <w:rPr>
          <w:rFonts w:ascii="Consolas" w:hAnsi="Consolas"/>
          <w:color w:val="444444"/>
          <w:sz w:val="18"/>
        </w:rPr>
        <w:t>A_s = σ( Conv_1×1( [ DW_h ; DW_v ; DW_d1 ; DW_d2 ] ) )</w:t>
      </w:r>
    </w:p>
    <w:p>
      <w:pPr>
        <w:spacing w:before="200" w:after="80"/>
      </w:pPr>
      <w:r>
        <w:rPr>
          <w:rFonts w:ascii="Times New Roman" w:hAnsi="Times New Roman" w:eastAsia="微软雅黑"/>
          <w:b/>
          <w:color w:val="2E74B5"/>
          <w:sz w:val="25"/>
        </w:rPr>
        <w:t>P5 · SSDCA 分配策略（30 秒）★ 核心贡献</w:t>
      </w:r>
    </w:p>
    <w:p>
      <w:pPr>
        <w:spacing w:after="80"/>
      </w:pPr>
      <w:r>
        <w:rPr>
          <w:b w:val="0"/>
          <w:sz w:val="21"/>
        </w:rPr>
        <w:t>画面：FPN 三层示意图。</w:t>
      </w:r>
    </w:p>
    <w:p>
      <w:pPr>
        <w:spacing w:before="80" w:after="120" w:line="276" w:lineRule="auto"/>
        <w:ind w:left="280"/>
      </w:pPr>
      <w:r>
        <w:rPr>
          <w:rFonts w:ascii="Consolas" w:hAnsi="Consolas"/>
          <w:color w:val="444444"/>
          <w:sz w:val="18"/>
        </w:rPr>
        <w:t>P3 (80×80)  ←  CODA    方向建模</w:t>
        <w:br/>
        <w:t>P4 (40×40)  ←  SE      通道重校准</w:t>
        <w:br/>
        <w:t>P5 (20×20)  ←  不做修改</w:t>
      </w:r>
    </w:p>
    <w:p>
      <w:pPr>
        <w:spacing w:after="80"/>
      </w:pPr>
      <w:r>
        <w:rPr>
          <w:b/>
          <w:sz w:val="21"/>
        </w:rPr>
        <w:t>要点：</w:t>
      </w:r>
    </w:p>
    <w:p>
      <w:pPr>
        <w:pStyle w:val="ListBullet"/>
        <w:spacing w:after="40"/>
        <w:ind w:left="360"/>
      </w:pPr>
      <w:r>
        <w:rPr>
          <w:sz w:val="21"/>
        </w:rPr>
        <w:t>核心贡献不是提出新模块，而是提出分配策略</w:t>
      </w:r>
    </w:p>
    <w:p>
      <w:pPr>
        <w:pStyle w:val="ListBullet"/>
        <w:spacing w:after="40"/>
        <w:ind w:left="360"/>
      </w:pPr>
      <w:r>
        <w:rPr>
          <w:sz w:val="21"/>
        </w:rPr>
        <w:t>为什么 P5 不放：K = 7 在 P5 上跨越 224 像素，而裂缝宽度小于 10 像素，方向信息已被抹平</w:t>
      </w:r>
    </w:p>
    <w:p>
      <w:pPr>
        <w:spacing w:after="80"/>
      </w:pPr>
      <w:r>
        <w:rPr>
          <w:b/>
          <w:sz w:val="21"/>
        </w:rPr>
        <w:t>口播落点：</w:t>
      </w:r>
    </w:p>
    <w:p>
      <w:pPr>
        <w:spacing w:after="120"/>
        <w:ind w:left="400"/>
      </w:pPr>
      <w:r>
        <w:rPr>
          <w:i/>
          <w:color w:val="555555"/>
          <w:sz w:val="20"/>
        </w:rPr>
        <w:t>"Our main contribution is not a new attention module, but a scale-specialized assignment strategy."</w:t>
      </w:r>
    </w:p>
    <w:p>
      <w:pPr>
        <w:spacing w:before="200" w:after="80"/>
      </w:pPr>
      <w:r>
        <w:rPr>
          <w:rFonts w:ascii="Times New Roman" w:hAnsi="Times New Roman" w:eastAsia="微软雅黑"/>
          <w:b/>
          <w:color w:val="2E74B5"/>
          <w:sz w:val="25"/>
        </w:rPr>
        <w:t>P6 · 主实验结果（30 秒）</w:t>
      </w:r>
    </w:p>
    <w:p>
      <w:pPr>
        <w:spacing w:after="80"/>
      </w:pPr>
      <w:r>
        <w:rPr>
          <w:b w:val="0"/>
          <w:sz w:val="21"/>
        </w:rPr>
        <w:t>只放精简版表格，不要把论文里的完整表格贴上去。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  <w:t>Model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Params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mAP50 (val)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YOLOv8n (baseline)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3.01M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0.7133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YOLOv8s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11.13M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0.7034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+ SE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3.01M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0.7561</w:t>
            </w:r>
          </w:p>
        </w:tc>
      </w:tr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  <w:t>+ SSDCA (Ours)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3.02M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0.7831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sz w:val="21"/>
        </w:rPr>
        <w:t>要点：</w:t>
      </w:r>
    </w:p>
    <w:p>
      <w:pPr>
        <w:pStyle w:val="ListBullet"/>
        <w:spacing w:after="40"/>
        <w:ind w:left="360"/>
      </w:pPr>
      <w:r>
        <w:rPr>
          <w:sz w:val="21"/>
        </w:rPr>
        <w:t>相比基线提升 7.0 个百分点，sign test p = 0.031</w:t>
      </w:r>
    </w:p>
    <w:p>
      <w:pPr>
        <w:pStyle w:val="ListBullet"/>
        <w:spacing w:after="40"/>
        <w:ind w:left="360"/>
      </w:pPr>
      <w:r>
        <w:rPr>
          <w:sz w:val="21"/>
        </w:rPr>
        <w:t>仅增加 0.01M 参数</w:t>
      </w:r>
    </w:p>
    <w:p>
      <w:pPr>
        <w:pStyle w:val="ListBullet"/>
        <w:spacing w:after="40"/>
        <w:ind w:left="360"/>
      </w:pPr>
      <w:r>
        <w:rPr>
          <w:sz w:val="21"/>
        </w:rPr>
        <w:t>优于参数量大 3.7 倍的 YOLOv8s —— 这句很有冲击力，可以强调</w:t>
      </w:r>
    </w:p>
    <w:p>
      <w:pPr>
        <w:spacing w:before="200" w:after="80"/>
      </w:pPr>
      <w:r>
        <w:rPr>
          <w:rFonts w:ascii="Times New Roman" w:hAnsi="Times New Roman" w:eastAsia="微软雅黑"/>
          <w:b/>
          <w:color w:val="2E74B5"/>
          <w:sz w:val="25"/>
        </w:rPr>
        <w:t>P7 · 消融实验：level-dependency 的证据（35 秒）★ 最有说服力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9"/>
              </w:rPr>
              <w:t>Configuration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P3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P4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mAP50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Baseline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0.7133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Uniform directional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CODA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CODA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0.7342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Uniform channel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SE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SE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0.7561</w:t>
            </w:r>
          </w:p>
        </w:tc>
      </w:tr>
      <w:tr>
        <w:tc>
          <w:tcPr>
            <w:tcW w:type="dxa" w:w="2436"/>
          </w:tcPr>
          <w:p>
            <w:r/>
            <w:r>
              <w:rPr>
                <w:b/>
                <w:sz w:val="19"/>
              </w:rPr>
              <w:t>Reversed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SE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CODA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0.7383</w:t>
            </w:r>
          </w:p>
        </w:tc>
      </w:tr>
      <w:tr>
        <w:tc>
          <w:tcPr>
            <w:tcW w:type="dxa" w:w="2436"/>
          </w:tcPr>
          <w:p>
            <w:r/>
            <w:r>
              <w:rPr>
                <w:b/>
                <w:sz w:val="19"/>
              </w:rPr>
              <w:t>SSDCA (Ours)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CODA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SE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0.7831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sz w:val="21"/>
        </w:rPr>
        <w:t>要点（一句话点透）：</w:t>
      </w:r>
    </w:p>
    <w:p>
      <w:pPr>
        <w:spacing w:after="120"/>
        <w:ind w:left="400"/>
      </w:pPr>
      <w:r>
        <w:rPr>
          <w:i/>
          <w:color w:val="555555"/>
          <w:sz w:val="20"/>
        </w:rPr>
        <w:t>反向分配掉 4.5 个百分点 —— 这证明方向注意力必须放在高分辨率层才有效，并不是“多加模块就好”。</w:t>
      </w:r>
    </w:p>
    <w:p>
      <w:pPr>
        <w:spacing w:after="80"/>
      </w:pPr>
      <w:r>
        <w:rPr>
          <w:b w:val="0"/>
          <w:color w:val="C00000"/>
          <w:sz w:val="21"/>
        </w:rPr>
        <w:t>这是全篇最硬的证据，口播时加重语气。</w:t>
      </w:r>
    </w:p>
    <w:p>
      <w:pPr>
        <w:spacing w:before="200" w:after="80"/>
      </w:pPr>
      <w:r>
        <w:rPr>
          <w:rFonts w:ascii="Times New Roman" w:hAnsi="Times New Roman" w:eastAsia="微软雅黑"/>
          <w:b/>
          <w:color w:val="2E74B5"/>
          <w:sz w:val="25"/>
        </w:rPr>
        <w:t>P8 · 可视化（25 秒）</w:t>
      </w:r>
    </w:p>
    <w:p>
      <w:pPr>
        <w:spacing w:after="80"/>
      </w:pPr>
      <w:r>
        <w:rPr>
          <w:b w:val="0"/>
          <w:sz w:val="21"/>
        </w:rPr>
        <w:t>画面：论文 Fig. 1 的 CODA 注意力热图（交叉裂缝 + 对角裂缝各一张）。</w:t>
      </w:r>
    </w:p>
    <w:p>
      <w:pPr>
        <w:spacing w:after="80"/>
      </w:pPr>
      <w:r>
        <w:rPr>
          <w:b/>
          <w:sz w:val="21"/>
        </w:rPr>
        <w:t>要点：</w:t>
      </w:r>
    </w:p>
    <w:p>
      <w:pPr>
        <w:pStyle w:val="ListBullet"/>
        <w:spacing w:after="40"/>
        <w:ind w:left="360"/>
      </w:pPr>
      <w:r>
        <w:rPr>
          <w:sz w:val="21"/>
        </w:rPr>
        <w:t>水平 / 垂直裂缝激活对应方向的通道</w:t>
      </w:r>
    </w:p>
    <w:p>
      <w:pPr>
        <w:pStyle w:val="ListBullet"/>
        <w:spacing w:after="40"/>
        <w:ind w:left="360"/>
      </w:pPr>
      <w:r>
        <w:rPr>
          <w:sz w:val="21"/>
        </w:rPr>
        <w:t>对角裂缝激活对角方向通道</w:t>
      </w:r>
    </w:p>
    <w:p>
      <w:pPr>
        <w:pStyle w:val="ListBullet"/>
        <w:spacing w:after="40"/>
        <w:ind w:left="360"/>
      </w:pPr>
      <w:r>
        <w:rPr>
          <w:sz w:val="21"/>
        </w:rPr>
        <w:t>注意力集中在缺陷区域，而非背景纹理</w:t>
      </w:r>
    </w:p>
    <w:p>
      <w:pPr>
        <w:spacing w:after="80"/>
      </w:pPr>
      <w:r>
        <w:rPr>
          <w:b w:val="0"/>
          <w:sz w:val="21"/>
        </w:rPr>
        <w:t>这页几乎不用讲，让图说话，念一两句即可。</w:t>
      </w:r>
    </w:p>
    <w:p>
      <w:pPr>
        <w:spacing w:before="200" w:after="80"/>
      </w:pPr>
      <w:r>
        <w:rPr>
          <w:rFonts w:ascii="Times New Roman" w:hAnsi="Times New Roman" w:eastAsia="微软雅黑"/>
          <w:b/>
          <w:color w:val="2E74B5"/>
          <w:sz w:val="25"/>
        </w:rPr>
        <w:t>P9 · 局限性（20 秒）</w:t>
      </w:r>
    </w:p>
    <w:p>
      <w:pPr>
        <w:spacing w:after="80"/>
      </w:pPr>
      <w:r>
        <w:rPr>
          <w:b/>
          <w:sz w:val="21"/>
        </w:rPr>
        <w:t>要点（诚实但简短）：</w:t>
      </w:r>
    </w:p>
    <w:p>
      <w:pPr>
        <w:pStyle w:val="ListBullet"/>
        <w:spacing w:after="40"/>
        <w:ind w:left="360"/>
      </w:pPr>
      <w:r>
        <w:rPr>
          <w:sz w:val="21"/>
        </w:rPr>
        <w:t>仅在单一数据集上评测，泛化性待验证</w:t>
      </w:r>
    </w:p>
    <w:p>
      <w:pPr>
        <w:pStyle w:val="ListBullet"/>
        <w:spacing w:after="40"/>
        <w:ind w:left="360"/>
      </w:pPr>
      <w:r>
        <w:rPr>
          <w:sz w:val="21"/>
        </w:rPr>
        <w:t>验证集偏小（442 张），种子间方差不小（σ ≈ 0.04）→ 因此报告 5 seed 均值 + 非参数检验</w:t>
      </w:r>
    </w:p>
    <w:p>
      <w:pPr>
        <w:pStyle w:val="ListBullet"/>
        <w:spacing w:after="40"/>
        <w:ind w:left="360"/>
      </w:pPr>
      <w:r>
        <w:rPr>
          <w:sz w:val="21"/>
        </w:rPr>
        <w:t>低对比度裂缝、裂缝交叉点、短裂缝（&lt; 30 px）仍会漏检</w:t>
      </w:r>
    </w:p>
    <w:p>
      <w:pPr>
        <w:spacing w:after="80"/>
      </w:pPr>
      <w:r>
        <w:rPr>
          <w:b w:val="0"/>
          <w:color w:val="C00000"/>
          <w:sz w:val="21"/>
        </w:rPr>
        <w:t>这页不要省略。学术报告中主动讲局限是加分项，评审和听众会认为你严谨。</w:t>
      </w:r>
    </w:p>
    <w:p>
      <w:pPr>
        <w:spacing w:before="200" w:after="80"/>
      </w:pPr>
      <w:r>
        <w:rPr>
          <w:rFonts w:ascii="Times New Roman" w:hAnsi="Times New Roman" w:eastAsia="微软雅黑"/>
          <w:b/>
          <w:color w:val="2E74B5"/>
          <w:sz w:val="25"/>
        </w:rPr>
        <w:t>P10 · 结论与致谢（15 秒）</w:t>
      </w:r>
    </w:p>
    <w:p>
      <w:pPr>
        <w:spacing w:after="80"/>
      </w:pPr>
      <w:r>
        <w:rPr>
          <w:b/>
          <w:sz w:val="21"/>
        </w:rPr>
        <w:t>三句话收尾：</w:t>
      </w:r>
    </w:p>
    <w:p>
      <w:pPr>
        <w:pStyle w:val="ListBullet"/>
        <w:spacing w:after="40"/>
        <w:ind w:left="360"/>
      </w:pPr>
      <w:r>
        <w:rPr>
          <w:sz w:val="21"/>
        </w:rPr>
        <w:t>提出 SSDCA —— 尺度专门化的异构注意力策略</w:t>
      </w:r>
    </w:p>
    <w:p>
      <w:pPr>
        <w:pStyle w:val="ListBullet"/>
        <w:spacing w:after="40"/>
        <w:ind w:left="360"/>
      </w:pPr>
      <w:r>
        <w:rPr>
          <w:sz w:val="21"/>
        </w:rPr>
        <w:t>揭示了方向注意力的 level-dependency 现象</w:t>
      </w:r>
    </w:p>
    <w:p>
      <w:pPr>
        <w:pStyle w:val="ListBullet"/>
        <w:spacing w:after="40"/>
        <w:ind w:left="360"/>
      </w:pPr>
      <w:r>
        <w:rPr>
          <w:sz w:val="21"/>
        </w:rPr>
        <w:t>提升 7.0 pp，仅增 0.01M 参数，可跨骨干迁移（YOLOv8n → YOLO26n）</w:t>
      </w:r>
    </w:p>
    <w:p>
      <w:pPr>
        <w:spacing w:after="80"/>
      </w:pPr>
      <w:r>
        <w:rPr>
          <w:b/>
          <w:sz w:val="21"/>
        </w:rPr>
        <w:t>结尾：</w:t>
      </w:r>
    </w:p>
    <w:p>
      <w:pPr>
        <w:spacing w:after="120"/>
        <w:ind w:left="400"/>
      </w:pPr>
      <w:r>
        <w:rPr>
          <w:i/>
          <w:color w:val="555555"/>
          <w:sz w:val="20"/>
        </w:rPr>
        <w:t>"Thank you for your attention."</w:t>
      </w:r>
    </w:p>
    <w:p>
      <w:pPr>
        <w:spacing w:after="80"/>
      </w:pPr>
      <w:r>
        <w:rPr>
          <w:b w:val="0"/>
          <w:sz w:val="21"/>
        </w:rPr>
        <w:t>如有基金支持，在这一页写上基金号。</w:t>
      </w:r>
    </w:p>
    <w:p>
      <w:pPr>
        <w:spacing w:before="240" w:after="120"/>
      </w:pPr>
      <w:r>
        <w:rPr>
          <w:rFonts w:ascii="Times New Roman" w:hAnsi="Times New Roman" w:eastAsia="微软雅黑"/>
          <w:b/>
          <w:color w:val="1F4E79"/>
          <w:sz w:val="30"/>
        </w:rPr>
        <w:t>四、录制与压缩</w:t>
      </w:r>
    </w:p>
    <w:p>
      <w:pPr>
        <w:spacing w:after="80"/>
      </w:pPr>
      <w:r>
        <w:rPr>
          <w:b/>
          <w:sz w:val="23"/>
        </w:rPr>
        <w:t>录制设置</w:t>
      </w:r>
    </w:p>
    <w:p>
      <w:pPr>
        <w:pStyle w:val="ListBullet"/>
        <w:spacing w:after="40"/>
        <w:ind w:left="360"/>
      </w:pPr>
      <w:r>
        <w:rPr>
          <w:sz w:val="21"/>
        </w:rPr>
        <w:t>工具：OBS Studio，或 PowerPoint 自带的“录制幻灯片演示”</w:t>
      </w:r>
    </w:p>
    <w:p>
      <w:pPr>
        <w:pStyle w:val="ListBullet"/>
        <w:spacing w:after="40"/>
        <w:ind w:left="360"/>
      </w:pPr>
      <w:r>
        <w:rPr>
          <w:sz w:val="21"/>
        </w:rPr>
        <w:t>分辨率：1280 × 720 即可（1080p 在 50 MB 内装 5 分钟会很勉强）</w:t>
      </w:r>
    </w:p>
    <w:p>
      <w:pPr>
        <w:pStyle w:val="ListBullet"/>
        <w:spacing w:after="40"/>
        <w:ind w:left="360"/>
      </w:pPr>
      <w:r>
        <w:rPr>
          <w:sz w:val="21"/>
        </w:rPr>
        <w:t>帧率：30 fps</w:t>
      </w:r>
    </w:p>
    <w:p>
      <w:pPr>
        <w:spacing w:after="80"/>
      </w:pPr>
      <w:r>
        <w:rPr>
          <w:b/>
          <w:sz w:val="23"/>
        </w:rPr>
        <w:t>压缩命令（压到 50 MB 以内）</w:t>
      </w:r>
    </w:p>
    <w:p>
      <w:pPr>
        <w:spacing w:before="80" w:after="120" w:line="276" w:lineRule="auto"/>
        <w:ind w:left="280"/>
      </w:pPr>
      <w:r>
        <w:rPr>
          <w:rFonts w:ascii="Consolas" w:hAnsi="Consolas"/>
          <w:color w:val="444444"/>
          <w:sz w:val="18"/>
        </w:rPr>
        <w:t>ffmpeg -i input.mp4 -c:v libx264 -preset slow -crf 26 \</w:t>
        <w:br/>
        <w:t xml:space="preserve">  -vf scale=1280:720 -r 30 -c:a aac -b:a 96k \</w:t>
        <w:br/>
        <w:t xml:space="preserve">  105_Video.mp4</w:t>
      </w:r>
    </w:p>
    <w:p>
      <w:pPr>
        <w:spacing w:after="80"/>
      </w:pPr>
      <w:r>
        <w:rPr>
          <w:b w:val="0"/>
          <w:sz w:val="21"/>
        </w:rPr>
        <w:t>5 分钟 720p、CRF 26 大约 25–40 MB，比较安全。</w:t>
      </w:r>
    </w:p>
    <w:p>
      <w:pPr>
        <w:spacing w:after="80"/>
      </w:pPr>
      <w:r>
        <w:rPr>
          <w:b/>
          <w:sz w:val="23"/>
        </w:rPr>
        <w:t>提交前自检</w:t>
      </w:r>
    </w:p>
    <w:p>
      <w:pPr>
        <w:spacing w:before="80" w:after="120" w:line="276" w:lineRule="auto"/>
        <w:ind w:left="280"/>
      </w:pPr>
      <w:r>
        <w:rPr>
          <w:rFonts w:ascii="Consolas" w:hAnsi="Consolas"/>
          <w:color w:val="444444"/>
          <w:sz w:val="18"/>
        </w:rPr>
        <w:t>ls -lh 105_Video.mp4</w:t>
        <w:br/>
        <w:t>ffprobe -v error -show_entries format=duration 105_Video.mp4</w:t>
      </w:r>
    </w:p>
    <w:p>
      <w:pPr>
        <w:spacing w:before="240" w:after="120"/>
      </w:pPr>
      <w:r>
        <w:rPr>
          <w:rFonts w:ascii="Times New Roman" w:hAnsi="Times New Roman" w:eastAsia="微软雅黑"/>
          <w:b/>
          <w:color w:val="1F4E79"/>
          <w:sz w:val="30"/>
        </w:rPr>
        <w:t>五、三个实操建议</w:t>
      </w:r>
    </w:p>
    <w:p>
      <w:pPr>
        <w:spacing w:after="80"/>
      </w:pPr>
      <w:r>
        <w:rPr>
          <w:b/>
          <w:sz w:val="21"/>
        </w:rPr>
        <w:t>1. 先写讲稿再录</w:t>
      </w:r>
    </w:p>
    <w:p>
      <w:pPr>
        <w:spacing w:after="80"/>
        <w:ind w:left="280"/>
      </w:pPr>
      <w:r>
        <w:rPr>
          <w:b w:val="0"/>
          <w:sz w:val="21"/>
        </w:rPr>
        <w:t>5 分钟大约需要 650–700 个英文单词。写好后通读计时，超时就删内容，不要指望录制时临场控速。</w:t>
      </w:r>
    </w:p>
    <w:p>
      <w:pPr>
        <w:spacing w:after="80"/>
      </w:pPr>
      <w:r>
        <w:rPr>
          <w:b/>
          <w:sz w:val="21"/>
        </w:rPr>
        <w:t>2. 分段录制</w:t>
      </w:r>
    </w:p>
    <w:p>
      <w:pPr>
        <w:spacing w:after="80"/>
        <w:ind w:left="280"/>
      </w:pPr>
      <w:r>
        <w:rPr>
          <w:b w:val="0"/>
          <w:sz w:val="21"/>
        </w:rPr>
        <w:t>一页录一段，录错只需重录那一页，最后用 ffmpeg 拼接。比一口气录完 5 分钟省事得多。</w:t>
      </w:r>
    </w:p>
    <w:p>
      <w:pPr>
        <w:spacing w:after="80"/>
      </w:pPr>
      <w:r>
        <w:rPr>
          <w:b/>
          <w:sz w:val="21"/>
        </w:rPr>
        <w:t>3. 音频比画面重要</w:t>
      </w:r>
    </w:p>
    <w:p>
      <w:pPr>
        <w:spacing w:after="80"/>
        <w:ind w:left="280"/>
      </w:pPr>
      <w:r>
        <w:rPr>
          <w:b w:val="0"/>
          <w:sz w:val="21"/>
        </w:rPr>
        <w:t>会务方会在线下 session 现场播放你的视频，会场音响播放模糊的录音会很尴尬。请使用耳机麦克风，选安静时段录制，不要用笔记本内置麦克风。</w:t>
      </w:r>
    </w:p>
    <w:p>
      <w:pPr>
        <w:spacing w:before="240" w:after="120"/>
      </w:pPr>
      <w:r>
        <w:rPr>
          <w:rFonts w:ascii="Times New Roman" w:hAnsi="Times New Roman" w:eastAsia="微软雅黑"/>
          <w:b/>
          <w:color w:val="1F4E79"/>
          <w:sz w:val="30"/>
        </w:rPr>
        <w:t>六、提交前检查清单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19"/>
              </w:rPr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19"/>
              </w:rPr>
              <w:t>检查项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视频时长 ≤ 5 分钟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文件大小 ≤ 50 MB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格式为 MP4，宽高比 16:9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文件名为 105_Video.mp4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封面页已报姓名与单位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音频清晰，无杂音、无爆音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所有表格数字与论文终稿一致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邮件主题为 ISAIR 2026 Video Submission_105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发送至 isair_video@126.com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在 8 月 18 日之前发出</w:t>
            </w:r>
          </w:p>
        </w:tc>
      </w:tr>
    </w:tbl>
    <w:p>
      <w:pPr>
        <w:spacing w:after="40"/>
      </w:pPr>
    </w:p>
    <w:p/>
    <w:p>
      <w:pPr>
        <w:jc w:val="center"/>
      </w:pPr>
      <w:r>
        <w:rPr>
          <w:color w:val="999999"/>
          <w:sz w:val="18"/>
        </w:rPr>
        <w:t>小小叶 · 2026-08-13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80"/>
    </w:pPr>
    <w:rPr>
      <w:rFonts w:ascii="Times New Roman" w:hAnsi="Times New Roman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