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38"/>
        </w:rPr>
        <w:t>演示视频 · 逐页演讲稿</w:t>
      </w:r>
    </w:p>
    <w:p>
      <w:pPr>
        <w:jc w:val="center"/>
      </w:pPr>
      <w:r>
        <w:rPr>
          <w:color w:val="666666"/>
          <w:sz w:val="21"/>
        </w:rPr>
        <w:t>ISAIR 2026 · Paper ID 105</w:t>
        <w:br/>
        <w:t>Scale-Specialized Directional-Channel Attention for Tunnel Defect Detection</w:t>
      </w:r>
    </w:p>
    <w:p>
      <w:pPr>
        <w:jc w:val="center"/>
      </w:pPr>
      <w:r>
        <w:rPr>
          <w:color w:val="888888"/>
          <w:sz w:val="20"/>
        </w:rPr>
        <w:t>Xinran Xu · Xijia Ye · Rui Yang · Yong Tao</w:t>
      </w:r>
    </w:p>
    <w:p/>
    <w:p>
      <w:pPr>
        <w:spacing w:before="280" w:after="120"/>
      </w:pPr>
      <w:r>
        <w:rPr>
          <w:rFonts w:ascii="Times New Roman" w:hAnsi="Times New Roman" w:eastAsia="微软雅黑"/>
          <w:b/>
          <w:color w:val="1F4E79"/>
          <w:sz w:val="30"/>
        </w:rPr>
        <w:t>时长总览</w:t>
      </w:r>
    </w:p>
    <w:p>
      <w:pPr>
        <w:spacing w:after="80" w:line="360" w:lineRule="auto"/>
      </w:pPr>
      <w:r>
        <w:rPr>
          <w:b w:val="0"/>
          <w:i w:val="0"/>
          <w:sz w:val="21"/>
        </w:rPr>
        <w:t>全稿共 480 个英文单词。按不同语速换算：</w:t>
      </w:r>
    </w:p>
    <w:tbl>
      <w:tblPr>
        <w:tblStyle w:val="LightGrid-Accent1"/>
        <w:tblW w:type="auto" w:w="0"/>
        <w:jc w:val="center"/>
        <w:tblLook w:firstColumn="1" w:firstRow="1" w:lastColumn="0" w:lastRow="0" w:noHBand="0" w:noVBand="1" w:val="04A0"/>
      </w:tblPr>
      <w:tblGrid>
        <w:gridCol w:w="2436"/>
        <w:gridCol w:w="2436"/>
        <w:gridCol w:w="2436"/>
        <w:gridCol w:w="2436"/>
      </w:tblGrid>
      <w:tr>
        <w:tc>
          <w:tcPr>
            <w:tcW w:type="dxa" w:w="2436"/>
          </w:tcPr>
          <w:p>
            <w:r/>
            <w:r>
              <w:rPr>
                <w:b/>
                <w:sz w:val="19"/>
              </w:rPr>
              <w:t>语速</w:t>
            </w:r>
          </w:p>
        </w:tc>
        <w:tc>
          <w:tcPr>
            <w:tcW w:type="dxa" w:w="2436"/>
          </w:tcPr>
          <w:p>
            <w:r/>
            <w:r>
              <w:rPr>
                <w:b/>
                <w:sz w:val="19"/>
              </w:rPr>
              <w:t>纯口播时长</w:t>
            </w:r>
          </w:p>
        </w:tc>
        <w:tc>
          <w:tcPr>
            <w:tcW w:type="dxa" w:w="2436"/>
          </w:tcPr>
          <w:p>
            <w:r/>
            <w:r>
              <w:rPr>
                <w:b/>
                <w:sz w:val="19"/>
              </w:rPr>
              <w:t>含页间停顿（约 27 秒）</w:t>
            </w:r>
          </w:p>
        </w:tc>
        <w:tc>
          <w:tcPr>
            <w:tcW w:type="dxa" w:w="2436"/>
          </w:tcPr>
          <w:p>
            <w:r/>
            <w:r>
              <w:rPr>
                <w:b/>
                <w:sz w:val="19"/>
              </w:rPr>
              <w:t>评估</w:t>
            </w:r>
          </w:p>
        </w:tc>
      </w:tr>
      <w:tr>
        <w:tc>
          <w:tcPr>
            <w:tcW w:type="dxa" w:w="2436"/>
          </w:tcPr>
          <w:p>
            <w:r/>
            <w:r>
              <w:rPr>
                <w:sz w:val="19"/>
              </w:rPr>
              <w:t>130 词 / 分钟</w:t>
            </w:r>
          </w:p>
        </w:tc>
        <w:tc>
          <w:tcPr>
            <w:tcW w:type="dxa" w:w="2436"/>
          </w:tcPr>
          <w:p>
            <w:r/>
            <w:r>
              <w:rPr>
                <w:sz w:val="19"/>
              </w:rPr>
              <w:t>3 分 42 秒</w:t>
            </w:r>
          </w:p>
        </w:tc>
        <w:tc>
          <w:tcPr>
            <w:tcW w:type="dxa" w:w="2436"/>
          </w:tcPr>
          <w:p>
            <w:r/>
            <w:r>
              <w:rPr>
                <w:sz w:val="19"/>
              </w:rPr>
              <w:t>4 分 09 秒</w:t>
            </w:r>
          </w:p>
        </w:tc>
        <w:tc>
          <w:tcPr>
            <w:tcW w:type="dxa" w:w="2436"/>
          </w:tcPr>
          <w:p>
            <w:r/>
            <w:r>
              <w:rPr>
                <w:sz w:val="19"/>
              </w:rPr>
              <w:t>安全</w:t>
            </w:r>
          </w:p>
        </w:tc>
      </w:tr>
      <w:tr>
        <w:tc>
          <w:tcPr>
            <w:tcW w:type="dxa" w:w="2436"/>
          </w:tcPr>
          <w:p>
            <w:r/>
            <w:r>
              <w:rPr>
                <w:b/>
                <w:sz w:val="19"/>
              </w:rPr>
              <w:t>140 词 / 分钟</w:t>
            </w:r>
          </w:p>
        </w:tc>
        <w:tc>
          <w:tcPr>
            <w:tcW w:type="dxa" w:w="2436"/>
          </w:tcPr>
          <w:p>
            <w:r/>
            <w:r>
              <w:rPr>
                <w:b/>
                <w:sz w:val="19"/>
              </w:rPr>
              <w:t>3 分 26 秒</w:t>
            </w:r>
          </w:p>
        </w:tc>
        <w:tc>
          <w:tcPr>
            <w:tcW w:type="dxa" w:w="2436"/>
          </w:tcPr>
          <w:p>
            <w:r/>
            <w:r>
              <w:rPr>
                <w:b/>
                <w:sz w:val="19"/>
              </w:rPr>
              <w:t>3 分 53 秒</w:t>
            </w:r>
          </w:p>
        </w:tc>
        <w:tc>
          <w:tcPr>
            <w:tcW w:type="dxa" w:w="2436"/>
          </w:tcPr>
          <w:p>
            <w:r/>
            <w:r>
              <w:rPr>
                <w:b/>
                <w:sz w:val="19"/>
              </w:rPr>
              <w:t>推荐</w:t>
            </w:r>
          </w:p>
        </w:tc>
      </w:tr>
      <w:tr>
        <w:tc>
          <w:tcPr>
            <w:tcW w:type="dxa" w:w="2436"/>
          </w:tcPr>
          <w:p>
            <w:r/>
            <w:r>
              <w:rPr>
                <w:sz w:val="19"/>
              </w:rPr>
              <w:t>150 词 / 分钟</w:t>
            </w:r>
          </w:p>
        </w:tc>
        <w:tc>
          <w:tcPr>
            <w:tcW w:type="dxa" w:w="2436"/>
          </w:tcPr>
          <w:p>
            <w:r/>
            <w:r>
              <w:rPr>
                <w:sz w:val="19"/>
              </w:rPr>
              <w:t>3 分 12 秒</w:t>
            </w:r>
          </w:p>
        </w:tc>
        <w:tc>
          <w:tcPr>
            <w:tcW w:type="dxa" w:w="2436"/>
          </w:tcPr>
          <w:p>
            <w:r/>
            <w:r>
              <w:rPr>
                <w:sz w:val="19"/>
              </w:rPr>
              <w:t>3 分 39 秒</w:t>
            </w:r>
          </w:p>
        </w:tc>
        <w:tc>
          <w:tcPr>
            <w:tcW w:type="dxa" w:w="2436"/>
          </w:tcPr>
          <w:p>
            <w:r/>
            <w:r>
              <w:rPr>
                <w:sz w:val="19"/>
              </w:rPr>
              <w:t>偏快</w:t>
            </w:r>
          </w:p>
        </w:tc>
      </w:tr>
    </w:tbl>
    <w:p>
      <w:pPr>
        <w:spacing w:after="40"/>
      </w:pPr>
    </w:p>
    <w:p>
      <w:pPr>
        <w:spacing w:after="80" w:line="360" w:lineRule="auto"/>
      </w:pPr>
      <w:r>
        <w:rPr>
          <w:b/>
          <w:i w:val="0"/>
          <w:color w:val="2E753F"/>
          <w:sz w:val="21"/>
        </w:rPr>
        <w:t>结论：按 140 词 / 分钟的正常语速，成片约 3 分 53 秒，距 5 分钟上限有充足余量。不需要压缩内容，可以从容讲，重点句还能停顿。</w:t>
      </w:r>
    </w:p>
    <w:p>
      <w:pPr>
        <w:spacing w:after="80" w:line="360" w:lineRule="auto"/>
        <w:ind w:left="280"/>
      </w:pPr>
      <w:r>
        <w:rPr>
          <w:b w:val="0"/>
          <w:i w:val="0"/>
          <w:color w:val="888888"/>
          <w:sz w:val="19"/>
        </w:rPr>
        <w:t>说明：此前粗估为 640 词，实际统计为 480 词，先前的超时担忧不成立。以本表为准。</w:t>
      </w:r>
    </w:p>
    <w:p>
      <w:pPr>
        <w:spacing w:before="280" w:after="120"/>
      </w:pPr>
      <w:r>
        <w:rPr>
          <w:rFonts w:ascii="Times New Roman" w:hAnsi="Times New Roman" w:eastAsia="微软雅黑"/>
          <w:b/>
          <w:color w:val="1F4E79"/>
          <w:sz w:val="30"/>
        </w:rPr>
        <w:t>时间轴分配（按 140 词 / 分钟 + 页间停顿 3 秒）</w:t>
      </w:r>
    </w:p>
    <w:tbl>
      <w:tblPr>
        <w:tblStyle w:val="LightGrid-Accent1"/>
        <w:tblW w:type="auto" w:w="0"/>
        <w:jc w:val="center"/>
        <w:tblLook w:firstColumn="1" w:firstRow="1" w:lastColumn="0" w:lastRow="0" w:noHBand="0" w:noVBand="1" w:val="04A0"/>
      </w:tblPr>
      <w:tblGrid>
        <w:gridCol w:w="1949"/>
        <w:gridCol w:w="1949"/>
        <w:gridCol w:w="1949"/>
        <w:gridCol w:w="1949"/>
        <w:gridCol w:w="1949"/>
      </w:tblGrid>
      <w:tr>
        <w:tc>
          <w:tcPr>
            <w:tcW w:type="dxa" w:w="1949"/>
          </w:tcPr>
          <w:p>
            <w:r/>
            <w:r>
              <w:rPr>
                <w:b/>
                <w:sz w:val="19"/>
              </w:rPr>
              <w:t>页</w:t>
            </w:r>
          </w:p>
        </w:tc>
        <w:tc>
          <w:tcPr>
            <w:tcW w:type="dxa" w:w="1949"/>
          </w:tcPr>
          <w:p>
            <w:r/>
            <w:r>
              <w:rPr>
                <w:b/>
                <w:sz w:val="19"/>
              </w:rPr>
              <w:t>内容</w:t>
            </w:r>
          </w:p>
        </w:tc>
        <w:tc>
          <w:tcPr>
            <w:tcW w:type="dxa" w:w="1949"/>
          </w:tcPr>
          <w:p>
            <w:r/>
            <w:r>
              <w:rPr>
                <w:b/>
                <w:sz w:val="19"/>
              </w:rPr>
              <w:t>词数</w:t>
            </w:r>
          </w:p>
        </w:tc>
        <w:tc>
          <w:tcPr>
            <w:tcW w:type="dxa" w:w="1949"/>
          </w:tcPr>
          <w:p>
            <w:r/>
            <w:r>
              <w:rPr>
                <w:b/>
                <w:sz w:val="19"/>
              </w:rPr>
              <w:t>口播</w:t>
            </w:r>
          </w:p>
        </w:tc>
        <w:tc>
          <w:tcPr>
            <w:tcW w:type="dxa" w:w="1949"/>
          </w:tcPr>
          <w:p>
            <w:r/>
            <w:r>
              <w:rPr>
                <w:b/>
                <w:sz w:val="19"/>
              </w:rPr>
              <w:t>累计时间点</w:t>
            </w:r>
          </w:p>
        </w:tc>
      </w:tr>
      <w:tr>
        <w:tc>
          <w:tcPr>
            <w:tcW w:type="dxa" w:w="1949"/>
          </w:tcPr>
          <w:p>
            <w:r/>
            <w:r>
              <w:rPr>
                <w:sz w:val="19"/>
              </w:rPr>
              <w:t>1</w:t>
            </w:r>
          </w:p>
        </w:tc>
        <w:tc>
          <w:tcPr>
            <w:tcW w:type="dxa" w:w="1949"/>
          </w:tcPr>
          <w:p>
            <w:r/>
            <w:r>
              <w:rPr>
                <w:sz w:val="19"/>
              </w:rPr>
              <w:t>封面与自我介绍</w:t>
            </w:r>
          </w:p>
        </w:tc>
        <w:tc>
          <w:tcPr>
            <w:tcW w:type="dxa" w:w="1949"/>
          </w:tcPr>
          <w:p>
            <w:r/>
            <w:r>
              <w:rPr>
                <w:sz w:val="19"/>
              </w:rPr>
              <w:t>22</w:t>
            </w:r>
          </w:p>
        </w:tc>
        <w:tc>
          <w:tcPr>
            <w:tcW w:type="dxa" w:w="1949"/>
          </w:tcPr>
          <w:p>
            <w:r/>
            <w:r>
              <w:rPr>
                <w:sz w:val="19"/>
              </w:rPr>
              <w:t>9 秒</w:t>
            </w:r>
          </w:p>
        </w:tc>
        <w:tc>
          <w:tcPr>
            <w:tcW w:type="dxa" w:w="1949"/>
          </w:tcPr>
          <w:p>
            <w:r/>
            <w:r>
              <w:rPr>
                <w:sz w:val="19"/>
              </w:rPr>
              <w:t>0:00 – 0:09</w:t>
            </w:r>
          </w:p>
        </w:tc>
      </w:tr>
      <w:tr>
        <w:tc>
          <w:tcPr>
            <w:tcW w:type="dxa" w:w="1949"/>
          </w:tcPr>
          <w:p>
            <w:r/>
            <w:r>
              <w:rPr>
                <w:sz w:val="19"/>
              </w:rPr>
              <w:t>2</w:t>
            </w:r>
          </w:p>
        </w:tc>
        <w:tc>
          <w:tcPr>
            <w:tcW w:type="dxa" w:w="1949"/>
          </w:tcPr>
          <w:p>
            <w:r/>
            <w:r>
              <w:rPr>
                <w:sz w:val="19"/>
              </w:rPr>
              <w:t>问题背景</w:t>
            </w:r>
          </w:p>
        </w:tc>
        <w:tc>
          <w:tcPr>
            <w:tcW w:type="dxa" w:w="1949"/>
          </w:tcPr>
          <w:p>
            <w:r/>
            <w:r>
              <w:rPr>
                <w:sz w:val="19"/>
              </w:rPr>
              <w:t>40</w:t>
            </w:r>
          </w:p>
        </w:tc>
        <w:tc>
          <w:tcPr>
            <w:tcW w:type="dxa" w:w="1949"/>
          </w:tcPr>
          <w:p>
            <w:r/>
            <w:r>
              <w:rPr>
                <w:sz w:val="19"/>
              </w:rPr>
              <w:t>17 秒</w:t>
            </w:r>
          </w:p>
        </w:tc>
        <w:tc>
          <w:tcPr>
            <w:tcW w:type="dxa" w:w="1949"/>
          </w:tcPr>
          <w:p>
            <w:r/>
            <w:r>
              <w:rPr>
                <w:sz w:val="19"/>
              </w:rPr>
              <w:t>0:12 – 0:29</w:t>
            </w:r>
          </w:p>
        </w:tc>
      </w:tr>
      <w:tr>
        <w:tc>
          <w:tcPr>
            <w:tcW w:type="dxa" w:w="1949"/>
          </w:tcPr>
          <w:p>
            <w:r/>
            <w:r>
              <w:rPr>
                <w:sz w:val="19"/>
              </w:rPr>
              <w:t>3</w:t>
            </w:r>
          </w:p>
        </w:tc>
        <w:tc>
          <w:tcPr>
            <w:tcW w:type="dxa" w:w="1949"/>
          </w:tcPr>
          <w:p>
            <w:r/>
            <w:r>
              <w:rPr>
                <w:sz w:val="19"/>
              </w:rPr>
              <w:t>现有方法的盲点</w:t>
            </w:r>
          </w:p>
        </w:tc>
        <w:tc>
          <w:tcPr>
            <w:tcW w:type="dxa" w:w="1949"/>
          </w:tcPr>
          <w:p>
            <w:r/>
            <w:r>
              <w:rPr>
                <w:sz w:val="19"/>
              </w:rPr>
              <w:t>58</w:t>
            </w:r>
          </w:p>
        </w:tc>
        <w:tc>
          <w:tcPr>
            <w:tcW w:type="dxa" w:w="1949"/>
          </w:tcPr>
          <w:p>
            <w:r/>
            <w:r>
              <w:rPr>
                <w:sz w:val="19"/>
              </w:rPr>
              <w:t>25 秒</w:t>
            </w:r>
          </w:p>
        </w:tc>
        <w:tc>
          <w:tcPr>
            <w:tcW w:type="dxa" w:w="1949"/>
          </w:tcPr>
          <w:p>
            <w:r/>
            <w:r>
              <w:rPr>
                <w:sz w:val="19"/>
              </w:rPr>
              <w:t>0:32 – 0:57</w:t>
            </w:r>
          </w:p>
        </w:tc>
      </w:tr>
      <w:tr>
        <w:tc>
          <w:tcPr>
            <w:tcW w:type="dxa" w:w="1949"/>
          </w:tcPr>
          <w:p>
            <w:r/>
            <w:r>
              <w:rPr>
                <w:sz w:val="19"/>
              </w:rPr>
              <w:t>4</w:t>
            </w:r>
          </w:p>
        </w:tc>
        <w:tc>
          <w:tcPr>
            <w:tcW w:type="dxa" w:w="1949"/>
          </w:tcPr>
          <w:p>
            <w:r/>
            <w:r>
              <w:rPr>
                <w:sz w:val="19"/>
              </w:rPr>
              <w:t>CODA 模块</w:t>
            </w:r>
          </w:p>
        </w:tc>
        <w:tc>
          <w:tcPr>
            <w:tcW w:type="dxa" w:w="1949"/>
          </w:tcPr>
          <w:p>
            <w:r/>
            <w:r>
              <w:rPr>
                <w:sz w:val="19"/>
              </w:rPr>
              <w:t>57</w:t>
            </w:r>
          </w:p>
        </w:tc>
        <w:tc>
          <w:tcPr>
            <w:tcW w:type="dxa" w:w="1949"/>
          </w:tcPr>
          <w:p>
            <w:r/>
            <w:r>
              <w:rPr>
                <w:sz w:val="19"/>
              </w:rPr>
              <w:t>24 秒</w:t>
            </w:r>
          </w:p>
        </w:tc>
        <w:tc>
          <w:tcPr>
            <w:tcW w:type="dxa" w:w="1949"/>
          </w:tcPr>
          <w:p>
            <w:r/>
            <w:r>
              <w:rPr>
                <w:sz w:val="19"/>
              </w:rPr>
              <w:t>1:00 – 1:24</w:t>
            </w:r>
          </w:p>
        </w:tc>
      </w:tr>
      <w:tr>
        <w:tc>
          <w:tcPr>
            <w:tcW w:type="dxa" w:w="1949"/>
          </w:tcPr>
          <w:p>
            <w:r/>
            <w:r>
              <w:rPr>
                <w:sz w:val="19"/>
              </w:rPr>
              <w:t>5</w:t>
            </w:r>
          </w:p>
        </w:tc>
        <w:tc>
          <w:tcPr>
            <w:tcW w:type="dxa" w:w="1949"/>
          </w:tcPr>
          <w:p>
            <w:r/>
            <w:r>
              <w:rPr>
                <w:sz w:val="19"/>
              </w:rPr>
              <w:t>SSDCA 分配策略</w:t>
            </w:r>
          </w:p>
        </w:tc>
        <w:tc>
          <w:tcPr>
            <w:tcW w:type="dxa" w:w="1949"/>
          </w:tcPr>
          <w:p>
            <w:r/>
            <w:r>
              <w:rPr>
                <w:sz w:val="19"/>
              </w:rPr>
              <w:t>65</w:t>
            </w:r>
          </w:p>
        </w:tc>
        <w:tc>
          <w:tcPr>
            <w:tcW w:type="dxa" w:w="1949"/>
          </w:tcPr>
          <w:p>
            <w:r/>
            <w:r>
              <w:rPr>
                <w:sz w:val="19"/>
              </w:rPr>
              <w:t>28 秒</w:t>
            </w:r>
          </w:p>
        </w:tc>
        <w:tc>
          <w:tcPr>
            <w:tcW w:type="dxa" w:w="1949"/>
          </w:tcPr>
          <w:p>
            <w:r/>
            <w:r>
              <w:rPr>
                <w:sz w:val="19"/>
              </w:rPr>
              <w:t>1:27 – 1:55</w:t>
            </w:r>
          </w:p>
        </w:tc>
      </w:tr>
      <w:tr>
        <w:tc>
          <w:tcPr>
            <w:tcW w:type="dxa" w:w="1949"/>
          </w:tcPr>
          <w:p>
            <w:r/>
            <w:r>
              <w:rPr>
                <w:sz w:val="19"/>
              </w:rPr>
              <w:t>6</w:t>
            </w:r>
          </w:p>
        </w:tc>
        <w:tc>
          <w:tcPr>
            <w:tcW w:type="dxa" w:w="1949"/>
          </w:tcPr>
          <w:p>
            <w:r/>
            <w:r>
              <w:rPr>
                <w:sz w:val="19"/>
              </w:rPr>
              <w:t>主实验结果</w:t>
            </w:r>
          </w:p>
        </w:tc>
        <w:tc>
          <w:tcPr>
            <w:tcW w:type="dxa" w:w="1949"/>
          </w:tcPr>
          <w:p>
            <w:r/>
            <w:r>
              <w:rPr>
                <w:sz w:val="19"/>
              </w:rPr>
              <w:t>62</w:t>
            </w:r>
          </w:p>
        </w:tc>
        <w:tc>
          <w:tcPr>
            <w:tcW w:type="dxa" w:w="1949"/>
          </w:tcPr>
          <w:p>
            <w:r/>
            <w:r>
              <w:rPr>
                <w:sz w:val="19"/>
              </w:rPr>
              <w:t>27 秒</w:t>
            </w:r>
          </w:p>
        </w:tc>
        <w:tc>
          <w:tcPr>
            <w:tcW w:type="dxa" w:w="1949"/>
          </w:tcPr>
          <w:p>
            <w:r/>
            <w:r>
              <w:rPr>
                <w:sz w:val="19"/>
              </w:rPr>
              <w:t>1:58 – 2:25</w:t>
            </w:r>
          </w:p>
        </w:tc>
      </w:tr>
      <w:tr>
        <w:tc>
          <w:tcPr>
            <w:tcW w:type="dxa" w:w="1949"/>
          </w:tcPr>
          <w:p>
            <w:r/>
            <w:r>
              <w:rPr>
                <w:sz w:val="19"/>
              </w:rPr>
              <w:t>7</w:t>
            </w:r>
          </w:p>
        </w:tc>
        <w:tc>
          <w:tcPr>
            <w:tcW w:type="dxa" w:w="1949"/>
          </w:tcPr>
          <w:p>
            <w:r/>
            <w:r>
              <w:rPr>
                <w:sz w:val="19"/>
              </w:rPr>
              <w:t>消融实验</w:t>
            </w:r>
          </w:p>
        </w:tc>
        <w:tc>
          <w:tcPr>
            <w:tcW w:type="dxa" w:w="1949"/>
          </w:tcPr>
          <w:p>
            <w:r/>
            <w:r>
              <w:rPr>
                <w:sz w:val="19"/>
              </w:rPr>
              <w:t>54</w:t>
            </w:r>
          </w:p>
        </w:tc>
        <w:tc>
          <w:tcPr>
            <w:tcW w:type="dxa" w:w="1949"/>
          </w:tcPr>
          <w:p>
            <w:r/>
            <w:r>
              <w:rPr>
                <w:sz w:val="19"/>
              </w:rPr>
              <w:t>23 秒</w:t>
            </w:r>
          </w:p>
        </w:tc>
        <w:tc>
          <w:tcPr>
            <w:tcW w:type="dxa" w:w="1949"/>
          </w:tcPr>
          <w:p>
            <w:r/>
            <w:r>
              <w:rPr>
                <w:sz w:val="19"/>
              </w:rPr>
              <w:t>2:28 – 2:51</w:t>
            </w:r>
          </w:p>
        </w:tc>
      </w:tr>
      <w:tr>
        <w:tc>
          <w:tcPr>
            <w:tcW w:type="dxa" w:w="1949"/>
          </w:tcPr>
          <w:p>
            <w:r/>
            <w:r>
              <w:rPr>
                <w:sz w:val="19"/>
              </w:rPr>
              <w:t>8</w:t>
            </w:r>
          </w:p>
        </w:tc>
        <w:tc>
          <w:tcPr>
            <w:tcW w:type="dxa" w:w="1949"/>
          </w:tcPr>
          <w:p>
            <w:r/>
            <w:r>
              <w:rPr>
                <w:sz w:val="19"/>
              </w:rPr>
              <w:t>可视化</w:t>
            </w:r>
          </w:p>
        </w:tc>
        <w:tc>
          <w:tcPr>
            <w:tcW w:type="dxa" w:w="1949"/>
          </w:tcPr>
          <w:p>
            <w:r/>
            <w:r>
              <w:rPr>
                <w:sz w:val="19"/>
              </w:rPr>
              <w:t>34</w:t>
            </w:r>
          </w:p>
        </w:tc>
        <w:tc>
          <w:tcPr>
            <w:tcW w:type="dxa" w:w="1949"/>
          </w:tcPr>
          <w:p>
            <w:r/>
            <w:r>
              <w:rPr>
                <w:sz w:val="19"/>
              </w:rPr>
              <w:t>15 秒</w:t>
            </w:r>
          </w:p>
        </w:tc>
        <w:tc>
          <w:tcPr>
            <w:tcW w:type="dxa" w:w="1949"/>
          </w:tcPr>
          <w:p>
            <w:r/>
            <w:r>
              <w:rPr>
                <w:sz w:val="19"/>
              </w:rPr>
              <w:t>2:54 – 3:09</w:t>
            </w:r>
          </w:p>
        </w:tc>
      </w:tr>
      <w:tr>
        <w:tc>
          <w:tcPr>
            <w:tcW w:type="dxa" w:w="1949"/>
          </w:tcPr>
          <w:p>
            <w:r/>
            <w:r>
              <w:rPr>
                <w:sz w:val="19"/>
              </w:rPr>
              <w:t>9</w:t>
            </w:r>
          </w:p>
        </w:tc>
        <w:tc>
          <w:tcPr>
            <w:tcW w:type="dxa" w:w="1949"/>
          </w:tcPr>
          <w:p>
            <w:r/>
            <w:r>
              <w:rPr>
                <w:sz w:val="19"/>
              </w:rPr>
              <w:t>局限性</w:t>
            </w:r>
          </w:p>
        </w:tc>
        <w:tc>
          <w:tcPr>
            <w:tcW w:type="dxa" w:w="1949"/>
          </w:tcPr>
          <w:p>
            <w:r/>
            <w:r>
              <w:rPr>
                <w:sz w:val="19"/>
              </w:rPr>
              <w:t>50</w:t>
            </w:r>
          </w:p>
        </w:tc>
        <w:tc>
          <w:tcPr>
            <w:tcW w:type="dxa" w:w="1949"/>
          </w:tcPr>
          <w:p>
            <w:r/>
            <w:r>
              <w:rPr>
                <w:sz w:val="19"/>
              </w:rPr>
              <w:t>21 秒</w:t>
            </w:r>
          </w:p>
        </w:tc>
        <w:tc>
          <w:tcPr>
            <w:tcW w:type="dxa" w:w="1949"/>
          </w:tcPr>
          <w:p>
            <w:r/>
            <w:r>
              <w:rPr>
                <w:sz w:val="19"/>
              </w:rPr>
              <w:t>3:12 – 3:33</w:t>
            </w:r>
          </w:p>
        </w:tc>
      </w:tr>
      <w:tr>
        <w:tc>
          <w:tcPr>
            <w:tcW w:type="dxa" w:w="1949"/>
          </w:tcPr>
          <w:p>
            <w:r/>
            <w:r>
              <w:rPr>
                <w:sz w:val="19"/>
              </w:rPr>
              <w:t>10</w:t>
            </w:r>
          </w:p>
        </w:tc>
        <w:tc>
          <w:tcPr>
            <w:tcW w:type="dxa" w:w="1949"/>
          </w:tcPr>
          <w:p>
            <w:r/>
            <w:r>
              <w:rPr>
                <w:sz w:val="19"/>
              </w:rPr>
              <w:t>结论与致谢</w:t>
            </w:r>
          </w:p>
        </w:tc>
        <w:tc>
          <w:tcPr>
            <w:tcW w:type="dxa" w:w="1949"/>
          </w:tcPr>
          <w:p>
            <w:r/>
            <w:r>
              <w:rPr>
                <w:sz w:val="19"/>
              </w:rPr>
              <w:t>38</w:t>
            </w:r>
          </w:p>
        </w:tc>
        <w:tc>
          <w:tcPr>
            <w:tcW w:type="dxa" w:w="1949"/>
          </w:tcPr>
          <w:p>
            <w:r/>
            <w:r>
              <w:rPr>
                <w:sz w:val="19"/>
              </w:rPr>
              <w:t>16 秒</w:t>
            </w:r>
          </w:p>
        </w:tc>
        <w:tc>
          <w:tcPr>
            <w:tcW w:type="dxa" w:w="1949"/>
          </w:tcPr>
          <w:p>
            <w:r/>
            <w:r>
              <w:rPr>
                <w:sz w:val="19"/>
              </w:rPr>
              <w:t>3:36 – 3:52</w:t>
            </w:r>
          </w:p>
        </w:tc>
      </w:tr>
    </w:tbl>
    <w:p>
      <w:pPr>
        <w:spacing w:after="40"/>
      </w:pPr>
    </w:p>
    <w:p>
      <w:r>
        <w:br w:type="page"/>
      </w:r>
    </w:p>
    <w:p>
      <w:pPr>
        <w:spacing w:before="0" w:after="120"/>
      </w:pPr>
      <w:r>
        <w:rPr>
          <w:rFonts w:ascii="Times New Roman" w:hAnsi="Times New Roman" w:eastAsia="微软雅黑"/>
          <w:b/>
          <w:color w:val="1F4E79"/>
          <w:sz w:val="32"/>
        </w:rPr>
        <w:t>逐页演讲稿</w:t>
      </w:r>
    </w:p>
    <w:p>
      <w:pPr>
        <w:spacing w:before="320" w:after="60"/>
      </w:pPr>
      <w:r>
        <w:rPr>
          <w:b/>
          <w:color w:val="1F4E79"/>
          <w:sz w:val="30"/>
        </w:rPr>
        <w:t>第 1 页</w:t>
      </w:r>
      <w:r>
        <w:rPr>
          <w:b/>
          <w:color w:val="2E74B5"/>
          <w:sz w:val="26"/>
        </w:rPr>
        <w:t xml:space="preserve">　封面与自我介绍</w:t>
      </w:r>
    </w:p>
    <w:p>
      <w:pPr>
        <w:spacing w:after="120"/>
      </w:pPr>
      <w:r>
        <w:rPr>
          <w:color w:val="888888"/>
          <w:sz w:val="18"/>
        </w:rPr>
        <w:t>时间轴 0:00 – 0:09　·　22 词　·　约 9 秒</w:t>
      </w:r>
    </w:p>
    <w:p>
      <w:pPr>
        <w:spacing w:after="120" w:line="360" w:lineRule="auto"/>
      </w:pPr>
      <w:r>
        <w:rPr>
          <w:b w:val="0"/>
          <w:i w:val="0"/>
          <w:color w:val="666666"/>
          <w:sz w:val="20"/>
        </w:rPr>
        <w:t>画面：标题、作者、单位、会议与 Paper ID</w:t>
      </w:r>
    </w:p>
    <w:p>
      <w:pPr>
        <w:spacing w:after="60" w:line="360" w:lineRule="auto"/>
      </w:pPr>
      <w:r>
        <w:rPr>
          <w:b/>
          <w:i w:val="0"/>
          <w:color w:val="2E753F"/>
          <w:sz w:val="21"/>
        </w:rPr>
        <w:t>英文口播</w:t>
      </w:r>
    </w:p>
    <w:p>
      <w:pPr>
        <w:spacing w:after="120" w:line="384" w:lineRule="auto"/>
        <w:ind w:left="320"/>
      </w:pPr>
      <w:r>
        <w:rPr>
          <w:rFonts w:ascii="Times New Roman" w:hAnsi="Times New Roman"/>
          <w:color w:val="333333"/>
          <w:sz w:val="22"/>
        </w:rPr>
        <w:t>Hello, I'm Xijia Ye from Guilin University of Electronic Technology. Today I'll present our work on scale-specialized attention for tunnel defect detection.</w:t>
      </w:r>
    </w:p>
    <w:p>
      <w:pPr>
        <w:spacing w:after="60" w:line="360" w:lineRule="auto"/>
      </w:pPr>
      <w:r>
        <w:rPr>
          <w:b/>
          <w:i w:val="0"/>
          <w:color w:val="777777"/>
          <w:sz w:val="21"/>
        </w:rPr>
        <w:t>中文对照</w:t>
      </w:r>
    </w:p>
    <w:p>
      <w:pPr>
        <w:spacing w:after="100"/>
        <w:ind w:left="320"/>
      </w:pPr>
      <w:r>
        <w:rPr>
          <w:color w:val="777777"/>
          <w:sz w:val="19"/>
        </w:rPr>
        <w:t>大家好，我是来自桂林电子科技大学的叶西佳。今天我将介绍我们关于尺度专门化注意力在隧道缺陷检测中的工作。</w:t>
      </w:r>
    </w:p>
    <w:p>
      <w:pPr>
        <w:spacing w:after="80"/>
        <w:ind w:left="320"/>
      </w:pPr>
      <w:r>
        <w:rPr>
          <w:b/>
          <w:color w:val="2E753F"/>
          <w:sz w:val="19"/>
        </w:rPr>
        <w:t>提示：开口前先停 1 秒再说话，避免录音开头被截断。语速放稳，这是第一印象。</w:t>
      </w:r>
    </w:p>
    <w:p>
      <w:pPr>
        <w:spacing w:before="320" w:after="60"/>
      </w:pPr>
      <w:r>
        <w:rPr>
          <w:b/>
          <w:color w:val="1F4E79"/>
          <w:sz w:val="30"/>
        </w:rPr>
        <w:t>第 2 页</w:t>
      </w:r>
      <w:r>
        <w:rPr>
          <w:b/>
          <w:color w:val="2E74B5"/>
          <w:sz w:val="26"/>
        </w:rPr>
        <w:t xml:space="preserve">　问题背景</w:t>
      </w:r>
    </w:p>
    <w:p>
      <w:pPr>
        <w:spacing w:after="120"/>
      </w:pPr>
      <w:r>
        <w:rPr>
          <w:color w:val="888888"/>
          <w:sz w:val="18"/>
        </w:rPr>
        <w:t>时间轴 0:12 – 0:29　·　40 词　·　约 17 秒</w:t>
      </w:r>
    </w:p>
    <w:p>
      <w:pPr>
        <w:spacing w:after="120" w:line="360" w:lineRule="auto"/>
      </w:pPr>
      <w:r>
        <w:rPr>
          <w:b w:val="0"/>
          <w:i w:val="0"/>
          <w:color w:val="666666"/>
          <w:sz w:val="20"/>
        </w:rPr>
        <w:t>画面：隧道裂缝实拍图，标注 thin / elongated / directional</w:t>
      </w:r>
    </w:p>
    <w:p>
      <w:pPr>
        <w:spacing w:after="60" w:line="360" w:lineRule="auto"/>
      </w:pPr>
      <w:r>
        <w:rPr>
          <w:b/>
          <w:i w:val="0"/>
          <w:color w:val="2E753F"/>
          <w:sz w:val="21"/>
        </w:rPr>
        <w:t>英文口播</w:t>
      </w:r>
    </w:p>
    <w:p>
      <w:pPr>
        <w:spacing w:after="120" w:line="384" w:lineRule="auto"/>
        <w:ind w:left="320"/>
      </w:pPr>
      <w:r>
        <w:rPr>
          <w:rFonts w:ascii="Times New Roman" w:hAnsi="Times New Roman"/>
          <w:color w:val="333333"/>
          <w:sz w:val="22"/>
        </w:rPr>
        <w:t>Let me start with the problem. Tunnel lining cracks are thin, elongated, and directional — very different from the compact objects that general detectors are designed for. This anisotropic morphology is precisely what makes cracks hard for standard object detectors.</w:t>
      </w:r>
    </w:p>
    <w:p>
      <w:pPr>
        <w:spacing w:after="60" w:line="360" w:lineRule="auto"/>
      </w:pPr>
      <w:r>
        <w:rPr>
          <w:b/>
          <w:i w:val="0"/>
          <w:color w:val="777777"/>
          <w:sz w:val="21"/>
        </w:rPr>
        <w:t>中文对照</w:t>
      </w:r>
    </w:p>
    <w:p>
      <w:pPr>
        <w:spacing w:after="100"/>
        <w:ind w:left="320"/>
      </w:pPr>
      <w:r>
        <w:rPr>
          <w:color w:val="777777"/>
          <w:sz w:val="19"/>
        </w:rPr>
        <w:t>先从问题说起。隧道衬砌裂缝细长且具有方向性，与通用检测器所针对的紧凑型目标差别很大。正是这种各向异性的形态，使裂缝对标准目标检测器构成挑战。</w:t>
      </w:r>
    </w:p>
    <w:p>
      <w:pPr>
        <w:spacing w:after="80"/>
        <w:ind w:left="320"/>
      </w:pPr>
      <w:r>
        <w:rPr>
          <w:b/>
          <w:color w:val="2E753F"/>
          <w:sz w:val="19"/>
        </w:rPr>
        <w:t>提示：读到 thin, elongated, and directional 时逐词加重，这是全篇的问题定义。</w:t>
      </w:r>
    </w:p>
    <w:p>
      <w:pPr>
        <w:spacing w:before="320" w:after="60"/>
      </w:pPr>
      <w:r>
        <w:rPr>
          <w:b/>
          <w:color w:val="1F4E79"/>
          <w:sz w:val="30"/>
        </w:rPr>
        <w:t>第 3 页</w:t>
      </w:r>
      <w:r>
        <w:rPr>
          <w:b/>
          <w:color w:val="2E74B5"/>
          <w:sz w:val="26"/>
        </w:rPr>
        <w:t xml:space="preserve">　现有方法的盲点</w:t>
      </w:r>
    </w:p>
    <w:p>
      <w:pPr>
        <w:spacing w:after="120"/>
      </w:pPr>
      <w:r>
        <w:rPr>
          <w:color w:val="888888"/>
          <w:sz w:val="18"/>
        </w:rPr>
        <w:t>时间轴 0:32 – 0:57　·　58 词　·　约 25 秒</w:t>
      </w:r>
    </w:p>
    <w:p>
      <w:pPr>
        <w:spacing w:after="120" w:line="360" w:lineRule="auto"/>
      </w:pPr>
      <w:r>
        <w:rPr>
          <w:b w:val="0"/>
          <w:i w:val="0"/>
          <w:color w:val="666666"/>
          <w:sz w:val="20"/>
        </w:rPr>
        <w:t>画面：P3 / P4 / P5 三层对比图 + 「现有做法」与「我们的做法」对照</w:t>
      </w:r>
    </w:p>
    <w:p>
      <w:pPr>
        <w:spacing w:after="60" w:line="360" w:lineRule="auto"/>
      </w:pPr>
      <w:r>
        <w:rPr>
          <w:b/>
          <w:i w:val="0"/>
          <w:color w:val="2E753F"/>
          <w:sz w:val="21"/>
        </w:rPr>
        <w:t>英文口播</w:t>
      </w:r>
    </w:p>
    <w:p>
      <w:pPr>
        <w:spacing w:after="120" w:line="384" w:lineRule="auto"/>
        <w:ind w:left="320"/>
      </w:pPr>
      <w:r>
        <w:rPr>
          <w:rFonts w:ascii="Times New Roman" w:hAnsi="Times New Roman"/>
          <w:color w:val="333333"/>
          <w:sz w:val="22"/>
        </w:rPr>
        <w:t>Existing attention methods share one blind spot: they apply the same attention uniformly across every pyramid level. This ignores a fundamental insight — different levels handle objects of different scales and morphologies. The high-resolution P3 layer preserves spatial detail, while the semantically richer P4 layer suits channel recalibration. Our claim is that attention should be scale-specialized, not scale-uniform.</w:t>
      </w:r>
    </w:p>
    <w:p>
      <w:pPr>
        <w:spacing w:after="60" w:line="360" w:lineRule="auto"/>
      </w:pPr>
      <w:r>
        <w:rPr>
          <w:b/>
          <w:i w:val="0"/>
          <w:color w:val="777777"/>
          <w:sz w:val="21"/>
        </w:rPr>
        <w:t>中文对照</w:t>
      </w:r>
    </w:p>
    <w:p>
      <w:pPr>
        <w:spacing w:after="100"/>
        <w:ind w:left="320"/>
      </w:pPr>
      <w:r>
        <w:rPr>
          <w:color w:val="777777"/>
          <w:sz w:val="19"/>
        </w:rPr>
        <w:t>现有注意力方法有一个共同盲点：在每一个金字塔层上均匀地施加相同的注意力。这忽略了一个基本事实——不同层级负责不同尺度和形态的目标。高分辨率的 P3 层保留了空间细节，而语义更丰富的 P4 层更适合通道重校准。我们的主张是：注意力应当是尺度专门化的，而非尺度均匀的。</w:t>
      </w:r>
    </w:p>
    <w:p>
      <w:pPr>
        <w:spacing w:after="80"/>
        <w:ind w:left="320"/>
      </w:pPr>
      <w:r>
        <w:rPr>
          <w:b/>
          <w:color w:val="C00000"/>
          <w:sz w:val="19"/>
        </w:rPr>
        <w:t>提示：最后一句是全篇立论点，前面稍作停顿再讲，语速放慢。</w:t>
      </w:r>
    </w:p>
    <w:p>
      <w:pPr>
        <w:spacing w:before="320" w:after="60"/>
      </w:pPr>
      <w:r>
        <w:rPr>
          <w:b/>
          <w:color w:val="1F4E79"/>
          <w:sz w:val="30"/>
        </w:rPr>
        <w:t>第 4 页</w:t>
      </w:r>
      <w:r>
        <w:rPr>
          <w:b/>
          <w:color w:val="2E74B5"/>
          <w:sz w:val="26"/>
        </w:rPr>
        <w:t xml:space="preserve">　CODA 模块</w:t>
      </w:r>
    </w:p>
    <w:p>
      <w:pPr>
        <w:spacing w:after="120"/>
      </w:pPr>
      <w:r>
        <w:rPr>
          <w:color w:val="888888"/>
          <w:sz w:val="18"/>
        </w:rPr>
        <w:t>时间轴 1:00 – 1:24　·　57 词　·　约 24 秒</w:t>
      </w:r>
    </w:p>
    <w:p>
      <w:pPr>
        <w:spacing w:after="120" w:line="360" w:lineRule="auto"/>
      </w:pPr>
      <w:r>
        <w:rPr>
          <w:b w:val="0"/>
          <w:i w:val="0"/>
          <w:color w:val="666666"/>
          <w:sz w:val="20"/>
        </w:rPr>
        <w:t>画面：CODA 数据流图：Input → 4 个方向深度卷积 → concat → 1×1 → σ → ⊙</w:t>
      </w:r>
    </w:p>
    <w:p>
      <w:pPr>
        <w:spacing w:after="60" w:line="360" w:lineRule="auto"/>
      </w:pPr>
      <w:r>
        <w:rPr>
          <w:b/>
          <w:i w:val="0"/>
          <w:color w:val="2E753F"/>
          <w:sz w:val="21"/>
        </w:rPr>
        <w:t>英文口播</w:t>
      </w:r>
    </w:p>
    <w:p>
      <w:pPr>
        <w:spacing w:after="120" w:line="384" w:lineRule="auto"/>
        <w:ind w:left="320"/>
      </w:pPr>
      <w:r>
        <w:rPr>
          <w:rFonts w:ascii="Times New Roman" w:hAnsi="Times New Roman"/>
          <w:color w:val="333333"/>
          <w:sz w:val="22"/>
        </w:rPr>
        <w:t>To act on this, we introduce CODA — Crack-Oriented Directional Attention. It uses four oriented depthwise convolutions — horizontal, vertical, and two diagonals — with kernel size seven, initialized with diagonal patterns as a strong directional inductive bias. A sigmoid gate keeps the module stable and purely suppressive. The entire module adds only about fifteen thousand parameters.</w:t>
      </w:r>
    </w:p>
    <w:p>
      <w:pPr>
        <w:spacing w:after="60" w:line="360" w:lineRule="auto"/>
      </w:pPr>
      <w:r>
        <w:rPr>
          <w:b/>
          <w:i w:val="0"/>
          <w:color w:val="777777"/>
          <w:sz w:val="21"/>
        </w:rPr>
        <w:t>中文对照</w:t>
      </w:r>
    </w:p>
    <w:p>
      <w:pPr>
        <w:spacing w:after="100"/>
        <w:ind w:left="320"/>
      </w:pPr>
      <w:r>
        <w:rPr>
          <w:color w:val="777777"/>
          <w:sz w:val="19"/>
        </w:rPr>
        <w:t>为此，我们提出了 CODA，即面向裂缝的方向注意力。它使用四个具有方向性的深度卷积——水平、垂直和两条对角——卷积核大小为 7，并采用对角图案进行初始化，以提供强方向性归纳偏置。sigmoid 门控使模块保持稳定且仅起抑制作用。整个模块仅增加约 1.5 万个参数。</w:t>
      </w:r>
    </w:p>
    <w:p>
      <w:pPr>
        <w:spacing w:after="80"/>
        <w:ind w:left="320"/>
      </w:pPr>
      <w:r>
        <w:rPr>
          <w:b/>
          <w:color w:val="2E753F"/>
          <w:sz w:val="19"/>
        </w:rPr>
        <w:t>提示：念到 CODA 时可以稍微停顿，让观众对上屏幕的缩写。</w:t>
      </w:r>
    </w:p>
    <w:p>
      <w:pPr>
        <w:spacing w:before="320" w:after="60"/>
      </w:pPr>
      <w:r>
        <w:rPr>
          <w:b/>
          <w:color w:val="1F4E79"/>
          <w:sz w:val="30"/>
        </w:rPr>
        <w:t>第 5 页</w:t>
      </w:r>
      <w:r>
        <w:rPr>
          <w:b/>
          <w:color w:val="2E74B5"/>
          <w:sz w:val="26"/>
        </w:rPr>
        <w:t xml:space="preserve">　SSDCA 分配策略</w:t>
      </w:r>
    </w:p>
    <w:p>
      <w:pPr>
        <w:spacing w:after="120"/>
      </w:pPr>
      <w:r>
        <w:rPr>
          <w:color w:val="888888"/>
          <w:sz w:val="18"/>
        </w:rPr>
        <w:t>时间轴 1:27 – 1:55　·　65 词　·　约 28 秒</w:t>
      </w:r>
    </w:p>
    <w:p>
      <w:pPr>
        <w:spacing w:after="120" w:line="360" w:lineRule="auto"/>
      </w:pPr>
      <w:r>
        <w:rPr>
          <w:b w:val="0"/>
          <w:i w:val="0"/>
          <w:color w:val="666666"/>
          <w:sz w:val="20"/>
        </w:rPr>
        <w:t>画面：FPN 三层分配示意 + 「为什么不放 P5」说明框</w:t>
      </w:r>
    </w:p>
    <w:p>
      <w:pPr>
        <w:spacing w:after="60" w:line="360" w:lineRule="auto"/>
      </w:pPr>
      <w:r>
        <w:rPr>
          <w:b/>
          <w:i w:val="0"/>
          <w:color w:val="2E753F"/>
          <w:sz w:val="21"/>
        </w:rPr>
        <w:t>英文口播</w:t>
      </w:r>
    </w:p>
    <w:p>
      <w:pPr>
        <w:spacing w:after="120" w:line="384" w:lineRule="auto"/>
        <w:ind w:left="320"/>
      </w:pPr>
      <w:r>
        <w:rPr>
          <w:rFonts w:ascii="Times New Roman" w:hAnsi="Times New Roman"/>
          <w:color w:val="333333"/>
          <w:sz w:val="22"/>
        </w:rPr>
        <w:t>Our main contribution is not a new module, but an assignment strategy. We place CODA at the high-resolution P3 layer for directional crack modeling, and a standard SE module at the semantic P4 layer for channel recalibration. We leave P5 untouched, because there a size-seven kernel spans over two hundred input pixels — far wider than a crack — so directional information is already blurred.</w:t>
      </w:r>
    </w:p>
    <w:p>
      <w:pPr>
        <w:spacing w:after="60" w:line="360" w:lineRule="auto"/>
      </w:pPr>
      <w:r>
        <w:rPr>
          <w:b/>
          <w:i w:val="0"/>
          <w:color w:val="777777"/>
          <w:sz w:val="21"/>
        </w:rPr>
        <w:t>中文对照</w:t>
      </w:r>
    </w:p>
    <w:p>
      <w:pPr>
        <w:spacing w:after="100"/>
        <w:ind w:left="320"/>
      </w:pPr>
      <w:r>
        <w:rPr>
          <w:color w:val="777777"/>
          <w:sz w:val="19"/>
        </w:rPr>
        <w:t>我们的核心贡献不是提出新模块，而是提出一种分配策略。我们把 CODA 放在高分辨率的 P3 层用于裂缝方向建模，把标准的 SE 模块放在语义层 P4 用于通道重校准。P5 层不做修改，因为在该层上大小为 7 的卷积核会跨越两百多个输入像素，远宽于裂缝本身，方向信息已经被模糊掉了。</w:t>
      </w:r>
    </w:p>
    <w:p>
      <w:pPr>
        <w:spacing w:after="80"/>
        <w:ind w:left="320"/>
      </w:pPr>
      <w:r>
        <w:rPr>
          <w:b/>
          <w:color w:val="C00000"/>
          <w:sz w:val="19"/>
        </w:rPr>
        <w:t>提示：本页词数最多（65 词），别赶。第一句「不是新模块，而是分配策略」要讲清楚。</w:t>
      </w:r>
    </w:p>
    <w:p>
      <w:pPr>
        <w:spacing w:before="320" w:after="60"/>
      </w:pPr>
      <w:r>
        <w:rPr>
          <w:b/>
          <w:color w:val="1F4E79"/>
          <w:sz w:val="30"/>
        </w:rPr>
        <w:t>第 6 页</w:t>
      </w:r>
      <w:r>
        <w:rPr>
          <w:b/>
          <w:color w:val="2E74B5"/>
          <w:sz w:val="26"/>
        </w:rPr>
        <w:t xml:space="preserve">　主实验结果</w:t>
      </w:r>
    </w:p>
    <w:p>
      <w:pPr>
        <w:spacing w:after="120"/>
      </w:pPr>
      <w:r>
        <w:rPr>
          <w:color w:val="888888"/>
          <w:sz w:val="18"/>
        </w:rPr>
        <w:t>时间轴 1:58 – 2:25　·　62 词　·　约 27 秒</w:t>
      </w:r>
    </w:p>
    <w:p>
      <w:pPr>
        <w:spacing w:after="120" w:line="360" w:lineRule="auto"/>
      </w:pPr>
      <w:r>
        <w:rPr>
          <w:b w:val="0"/>
          <w:i w:val="0"/>
          <w:color w:val="666666"/>
          <w:sz w:val="20"/>
        </w:rPr>
        <w:t>画面：精简对比表 + 四个大数字（+7.0 / p=0.031 / +0.01M / 3.7×）</w:t>
      </w:r>
    </w:p>
    <w:p>
      <w:pPr>
        <w:spacing w:after="60" w:line="360" w:lineRule="auto"/>
      </w:pPr>
      <w:r>
        <w:rPr>
          <w:b/>
          <w:i w:val="0"/>
          <w:color w:val="2E753F"/>
          <w:sz w:val="21"/>
        </w:rPr>
        <w:t>英文口播</w:t>
      </w:r>
    </w:p>
    <w:p>
      <w:pPr>
        <w:spacing w:after="120" w:line="384" w:lineRule="auto"/>
        <w:ind w:left="320"/>
      </w:pPr>
      <w:r>
        <w:rPr>
          <w:rFonts w:ascii="Times New Roman" w:hAnsi="Times New Roman"/>
          <w:color w:val="333333"/>
          <w:sz w:val="22"/>
        </w:rPr>
        <w:t>The results are clear. SSDCA improves the baseline by seven point zero percentage points on the validation set, with a sign-test p-value of zero point zero three one across five seeds. It adds only zero point zero one million parameters. Notably, it even beats YOLOv8s, which carries three point seven times more parameters and actually performs worse on this small-scale defect dataset.</w:t>
      </w:r>
    </w:p>
    <w:p>
      <w:pPr>
        <w:spacing w:after="60" w:line="360" w:lineRule="auto"/>
      </w:pPr>
      <w:r>
        <w:rPr>
          <w:b/>
          <w:i w:val="0"/>
          <w:color w:val="777777"/>
          <w:sz w:val="21"/>
        </w:rPr>
        <w:t>中文对照</w:t>
      </w:r>
    </w:p>
    <w:p>
      <w:pPr>
        <w:spacing w:after="100"/>
        <w:ind w:left="320"/>
      </w:pPr>
      <w:r>
        <w:rPr>
          <w:color w:val="777777"/>
          <w:sz w:val="19"/>
        </w:rPr>
        <w:t>结果很明确。SSDCA 在验证集上将基线提升了 7.0 个百分点，五个随机种子下符号检验的 p 值为 0.031。它仅增加了 0.01M 参数。值得注意的是，它甚至优于 YOLOv8s——后者参数量多出 3.7 倍，在这个小规模缺陷数据集上表现反而更差。</w:t>
      </w:r>
    </w:p>
    <w:p>
      <w:pPr>
        <w:spacing w:after="80"/>
        <w:ind w:left="320"/>
      </w:pPr>
      <w:r>
        <w:rPr>
          <w:b/>
          <w:color w:val="2E753F"/>
          <w:sz w:val="19"/>
        </w:rPr>
        <w:t>提示：数字全部逐位念清楚。最后一句「甚至优于参数量大 3.7 倍的模型」是本页记忆点，加重语气。</w:t>
      </w:r>
    </w:p>
    <w:p>
      <w:pPr>
        <w:spacing w:before="320" w:after="60"/>
      </w:pPr>
      <w:r>
        <w:rPr>
          <w:b/>
          <w:color w:val="1F4E79"/>
          <w:sz w:val="30"/>
        </w:rPr>
        <w:t>第 7 页</w:t>
      </w:r>
      <w:r>
        <w:rPr>
          <w:b/>
          <w:color w:val="2E74B5"/>
          <w:sz w:val="26"/>
        </w:rPr>
        <w:t xml:space="preserve">　消融实验</w:t>
      </w:r>
    </w:p>
    <w:p>
      <w:pPr>
        <w:spacing w:after="120"/>
      </w:pPr>
      <w:r>
        <w:rPr>
          <w:color w:val="888888"/>
          <w:sz w:val="18"/>
        </w:rPr>
        <w:t>时间轴 2:28 – 2:51　·　54 词　·　约 23 秒</w:t>
      </w:r>
    </w:p>
    <w:p>
      <w:pPr>
        <w:spacing w:after="120" w:line="360" w:lineRule="auto"/>
      </w:pPr>
      <w:r>
        <w:rPr>
          <w:b w:val="0"/>
          <w:i w:val="0"/>
          <w:color w:val="666666"/>
          <w:sz w:val="20"/>
        </w:rPr>
        <w:t>画面：四柱对比图：Baseline / Uniform CODA / Reversed / SSDCA</w:t>
      </w:r>
    </w:p>
    <w:p>
      <w:pPr>
        <w:spacing w:after="60" w:line="360" w:lineRule="auto"/>
      </w:pPr>
      <w:r>
        <w:rPr>
          <w:b/>
          <w:i w:val="0"/>
          <w:color w:val="2E753F"/>
          <w:sz w:val="21"/>
        </w:rPr>
        <w:t>英文口播</w:t>
      </w:r>
    </w:p>
    <w:p>
      <w:pPr>
        <w:spacing w:after="120" w:line="384" w:lineRule="auto"/>
        <w:ind w:left="320"/>
      </w:pPr>
      <w:r>
        <w:rPr>
          <w:rFonts w:ascii="Times New Roman" w:hAnsi="Times New Roman"/>
          <w:color w:val="333333"/>
          <w:sz w:val="22"/>
        </w:rPr>
        <w:t>Here is the hardest evidence. When we reverse the assignment — putting CODA at P4 and SE at P3 — performance drops by four point five percentage points. This proves that directional attention must sit at the high-resolution level to be effective. It is not that adding more modules helps; placement is what matters.</w:t>
      </w:r>
    </w:p>
    <w:p>
      <w:pPr>
        <w:spacing w:after="60" w:line="360" w:lineRule="auto"/>
      </w:pPr>
      <w:r>
        <w:rPr>
          <w:b/>
          <w:i w:val="0"/>
          <w:color w:val="777777"/>
          <w:sz w:val="21"/>
        </w:rPr>
        <w:t>中文对照</w:t>
      </w:r>
    </w:p>
    <w:p>
      <w:pPr>
        <w:spacing w:after="100"/>
        <w:ind w:left="320"/>
      </w:pPr>
      <w:r>
        <w:rPr>
          <w:color w:val="777777"/>
          <w:sz w:val="19"/>
        </w:rPr>
        <w:t>这是最有力的证据。当我们把分配反过来——将 CODA 放在 P4、SE 放在 P3——性能下降了 4.5 个百分点。这证明方向注意力必须置于高分辨率层才有效。并不是「模块加得越多越好」，关键在于放置的位置。</w:t>
      </w:r>
    </w:p>
    <w:p>
      <w:pPr>
        <w:spacing w:after="80"/>
        <w:ind w:left="320"/>
      </w:pPr>
      <w:r>
        <w:rPr>
          <w:b/>
          <w:color w:val="C00000"/>
          <w:sz w:val="19"/>
        </w:rPr>
        <w:t>提示：全篇最核心一页。讲完「drops by 4.5 percentage points」后停顿 1 秒，再讲结论句。另：录制前确认这页底部的统计检验说明已按核对清单处理。</w:t>
      </w:r>
    </w:p>
    <w:p>
      <w:pPr>
        <w:spacing w:before="320" w:after="60"/>
      </w:pPr>
      <w:r>
        <w:rPr>
          <w:b/>
          <w:color w:val="1F4E79"/>
          <w:sz w:val="30"/>
        </w:rPr>
        <w:t>第 8 页</w:t>
      </w:r>
      <w:r>
        <w:rPr>
          <w:b/>
          <w:color w:val="2E74B5"/>
          <w:sz w:val="26"/>
        </w:rPr>
        <w:t xml:space="preserve">　可视化</w:t>
      </w:r>
    </w:p>
    <w:p>
      <w:pPr>
        <w:spacing w:after="120"/>
      </w:pPr>
      <w:r>
        <w:rPr>
          <w:color w:val="888888"/>
          <w:sz w:val="18"/>
        </w:rPr>
        <w:t>时间轴 2:54 – 3:09　·　34 词　·　约 15 秒</w:t>
      </w:r>
    </w:p>
    <w:p>
      <w:pPr>
        <w:spacing w:after="120" w:line="360" w:lineRule="auto"/>
      </w:pPr>
      <w:r>
        <w:rPr>
          <w:b w:val="0"/>
          <w:i w:val="0"/>
          <w:color w:val="666666"/>
          <w:sz w:val="20"/>
        </w:rPr>
        <w:t>画面：CODA 注意力热图两组：交叉裂缝 / 对角裂缝</w:t>
      </w:r>
    </w:p>
    <w:p>
      <w:pPr>
        <w:spacing w:after="60" w:line="360" w:lineRule="auto"/>
      </w:pPr>
      <w:r>
        <w:rPr>
          <w:b/>
          <w:i w:val="0"/>
          <w:color w:val="2E753F"/>
          <w:sz w:val="21"/>
        </w:rPr>
        <w:t>英文口播</w:t>
      </w:r>
    </w:p>
    <w:p>
      <w:pPr>
        <w:spacing w:after="120" w:line="384" w:lineRule="auto"/>
        <w:ind w:left="320"/>
      </w:pPr>
      <w:r>
        <w:rPr>
          <w:rFonts w:ascii="Times New Roman" w:hAnsi="Times New Roman"/>
          <w:color w:val="333333"/>
          <w:sz w:val="22"/>
        </w:rPr>
        <w:t>The attention maps confirm the story. Intersecting cracks activate the horizontal and vertical channels, while diagonal cracks activate the diagonal channels. Attention concentrates on the defect regions, rather than on the background concrete texture.</w:t>
      </w:r>
    </w:p>
    <w:p>
      <w:pPr>
        <w:spacing w:after="60" w:line="360" w:lineRule="auto"/>
      </w:pPr>
      <w:r>
        <w:rPr>
          <w:b/>
          <w:i w:val="0"/>
          <w:color w:val="777777"/>
          <w:sz w:val="21"/>
        </w:rPr>
        <w:t>中文对照</w:t>
      </w:r>
    </w:p>
    <w:p>
      <w:pPr>
        <w:spacing w:after="100"/>
        <w:ind w:left="320"/>
      </w:pPr>
      <w:r>
        <w:rPr>
          <w:color w:val="777777"/>
          <w:sz w:val="19"/>
        </w:rPr>
        <w:t>注意力图印证了上述结论。交叉裂缝激活了水平和垂直通道，而对角裂缝激活了对角通道。注意力集中在缺陷区域，而非背景混凝土纹理上。</w:t>
      </w:r>
    </w:p>
    <w:p>
      <w:pPr>
        <w:spacing w:after="80"/>
        <w:ind w:left="320"/>
      </w:pPr>
      <w:r>
        <w:rPr>
          <w:b/>
          <w:color w:val="2E753F"/>
          <w:sz w:val="19"/>
        </w:rPr>
        <w:t>提示：本页词数最少，可以讲慢一些，让观众有时间看图。念到「horizontal and vertical」时可用鼠标指向对应热图。</w:t>
      </w:r>
    </w:p>
    <w:p>
      <w:pPr>
        <w:spacing w:before="320" w:after="60"/>
      </w:pPr>
      <w:r>
        <w:rPr>
          <w:b/>
          <w:color w:val="1F4E79"/>
          <w:sz w:val="30"/>
        </w:rPr>
        <w:t>第 9 页</w:t>
      </w:r>
      <w:r>
        <w:rPr>
          <w:b/>
          <w:color w:val="2E74B5"/>
          <w:sz w:val="26"/>
        </w:rPr>
        <w:t xml:space="preserve">　局限性</w:t>
      </w:r>
    </w:p>
    <w:p>
      <w:pPr>
        <w:spacing w:after="120"/>
      </w:pPr>
      <w:r>
        <w:rPr>
          <w:color w:val="888888"/>
          <w:sz w:val="18"/>
        </w:rPr>
        <w:t>时间轴 3:12 – 3:33　·　50 词　·　约 21 秒</w:t>
      </w:r>
    </w:p>
    <w:p>
      <w:pPr>
        <w:spacing w:after="120" w:line="360" w:lineRule="auto"/>
      </w:pPr>
      <w:r>
        <w:rPr>
          <w:b w:val="0"/>
          <w:i w:val="0"/>
          <w:color w:val="666666"/>
          <w:sz w:val="20"/>
        </w:rPr>
        <w:t>画面：三条局限：单一数据集 / 验证集偏小 / 残余漏检</w:t>
      </w:r>
    </w:p>
    <w:p>
      <w:pPr>
        <w:spacing w:after="60" w:line="360" w:lineRule="auto"/>
      </w:pPr>
      <w:r>
        <w:rPr>
          <w:b/>
          <w:i w:val="0"/>
          <w:color w:val="2E753F"/>
          <w:sz w:val="21"/>
        </w:rPr>
        <w:t>英文口播</w:t>
      </w:r>
    </w:p>
    <w:p>
      <w:pPr>
        <w:spacing w:after="120" w:line="384" w:lineRule="auto"/>
        <w:ind w:left="320"/>
      </w:pPr>
      <w:r>
        <w:rPr>
          <w:rFonts w:ascii="Times New Roman" w:hAnsi="Times New Roman"/>
          <w:color w:val="333333"/>
          <w:sz w:val="22"/>
        </w:rPr>
        <w:t>A few honest limitations. We evaluated on a single tunnel dataset, so cross-dataset generalization remains unverified. The validation set is small, with non-trivial seed variance, which is why we report five-seed means and non-parametric significance tests. We also still miss low-contrast cracks, crack junctions, and short cracks under thirty pixels.</w:t>
      </w:r>
    </w:p>
    <w:p>
      <w:pPr>
        <w:spacing w:after="60" w:line="360" w:lineRule="auto"/>
      </w:pPr>
      <w:r>
        <w:rPr>
          <w:b/>
          <w:i w:val="0"/>
          <w:color w:val="777777"/>
          <w:sz w:val="21"/>
        </w:rPr>
        <w:t>中文对照</w:t>
      </w:r>
    </w:p>
    <w:p>
      <w:pPr>
        <w:spacing w:after="100"/>
        <w:ind w:left="320"/>
      </w:pPr>
      <w:r>
        <w:rPr>
          <w:color w:val="777777"/>
          <w:sz w:val="19"/>
        </w:rPr>
        <w:t>还有几点需要坦诚说明的局限。我们仅在单一隧道数据集上进行了评测，因此跨数据集的泛化性尚未验证。验证集规模偏小，种子间方差不可忽略，这也是我们报告五个种子均值和非参数显著性检验的原因。此外，低对比度裂缝、裂缝交叉点以及小于 30 像素的短裂缝仍会漏检。</w:t>
      </w:r>
    </w:p>
    <w:p>
      <w:pPr>
        <w:spacing w:after="80"/>
        <w:ind w:left="320"/>
      </w:pPr>
      <w:r>
        <w:rPr>
          <w:b/>
          <w:color w:val="2E753F"/>
          <w:sz w:val="19"/>
        </w:rPr>
        <w:t>提示：语气保持平稳自信，不要显得心虚。主动讲局限是学术报告的加分项。</w:t>
      </w:r>
    </w:p>
    <w:p>
      <w:pPr>
        <w:spacing w:before="320" w:after="60"/>
      </w:pPr>
      <w:r>
        <w:rPr>
          <w:b/>
          <w:color w:val="1F4E79"/>
          <w:sz w:val="30"/>
        </w:rPr>
        <w:t>第 10 页</w:t>
      </w:r>
      <w:r>
        <w:rPr>
          <w:b/>
          <w:color w:val="2E74B5"/>
          <w:sz w:val="26"/>
        </w:rPr>
        <w:t xml:space="preserve">　结论与致谢</w:t>
      </w:r>
    </w:p>
    <w:p>
      <w:pPr>
        <w:spacing w:after="120"/>
      </w:pPr>
      <w:r>
        <w:rPr>
          <w:color w:val="888888"/>
          <w:sz w:val="18"/>
        </w:rPr>
        <w:t>时间轴 3:36 – 3:52　·　38 词　·　约 16 秒</w:t>
      </w:r>
    </w:p>
    <w:p>
      <w:pPr>
        <w:spacing w:after="120" w:line="360" w:lineRule="auto"/>
      </w:pPr>
      <w:r>
        <w:rPr>
          <w:b w:val="0"/>
          <w:i w:val="0"/>
          <w:color w:val="666666"/>
          <w:sz w:val="20"/>
        </w:rPr>
        <w:t>画面：三条结论 + Thank you + 基金致谢</w:t>
      </w:r>
    </w:p>
    <w:p>
      <w:pPr>
        <w:spacing w:after="60" w:line="360" w:lineRule="auto"/>
      </w:pPr>
      <w:r>
        <w:rPr>
          <w:b/>
          <w:i w:val="0"/>
          <w:color w:val="2E753F"/>
          <w:sz w:val="21"/>
        </w:rPr>
        <w:t>英文口播</w:t>
      </w:r>
    </w:p>
    <w:p>
      <w:pPr>
        <w:spacing w:after="120" w:line="384" w:lineRule="auto"/>
        <w:ind w:left="320"/>
      </w:pPr>
      <w:r>
        <w:rPr>
          <w:rFonts w:ascii="Times New Roman" w:hAnsi="Times New Roman"/>
          <w:color w:val="333333"/>
          <w:sz w:val="22"/>
        </w:rPr>
        <w:t>In summary, SSDCA is a scale-specialized attention strategy that reveals the level-dependency of directional attention. It lifts performance by seven percentage points at near-zero cost, and transfers across backbones from YOLOv8n to YOLO26n. Thank you for your attention.</w:t>
      </w:r>
    </w:p>
    <w:p>
      <w:pPr>
        <w:spacing w:after="60" w:line="360" w:lineRule="auto"/>
      </w:pPr>
      <w:r>
        <w:rPr>
          <w:b/>
          <w:i w:val="0"/>
          <w:color w:val="777777"/>
          <w:sz w:val="21"/>
        </w:rPr>
        <w:t>中文对照</w:t>
      </w:r>
    </w:p>
    <w:p>
      <w:pPr>
        <w:spacing w:after="100"/>
        <w:ind w:left="320"/>
      </w:pPr>
      <w:r>
        <w:rPr>
          <w:color w:val="777777"/>
          <w:sz w:val="19"/>
        </w:rPr>
        <w:t>总结而言，SSDCA 是一种尺度专门化的注意力策略，揭示了方向注意力的层级依赖性。它以近乎零的代价带来 7 个百分点的提升，并可在 YOLOv8n 到 YOLO26n 之间跨骨干迁移。感谢各位的聆听。</w:t>
      </w:r>
    </w:p>
    <w:p>
      <w:pPr>
        <w:spacing w:after="80"/>
        <w:ind w:left="320"/>
      </w:pPr>
      <w:r>
        <w:rPr>
          <w:b/>
          <w:color w:val="C00000"/>
          <w:sz w:val="19"/>
        </w:rPr>
        <w:t>提示：念完 Thank you for your attention 后不要立刻停止录制，静默 2 秒再停，避免结尾被切断。</w:t>
      </w:r>
    </w:p>
    <w:p>
      <w:r>
        <w:br w:type="page"/>
      </w:r>
    </w:p>
    <w:p>
      <w:pPr>
        <w:spacing w:before="0" w:after="120"/>
      </w:pPr>
      <w:r>
        <w:rPr>
          <w:rFonts w:ascii="Times New Roman" w:hAnsi="Times New Roman" w:eastAsia="微软雅黑"/>
          <w:b/>
          <w:color w:val="1F4E79"/>
          <w:sz w:val="32"/>
        </w:rPr>
        <w:t>录制要点</w:t>
      </w:r>
    </w:p>
    <w:p>
      <w:pPr>
        <w:spacing w:after="80" w:line="360" w:lineRule="auto"/>
      </w:pPr>
      <w:r>
        <w:rPr>
          <w:b/>
          <w:i w:val="0"/>
          <w:sz w:val="23"/>
        </w:rPr>
        <w:t>语速与停顿</w:t>
      </w:r>
    </w:p>
    <w:p>
      <w:pPr>
        <w:pStyle w:val="ListBullet"/>
        <w:spacing w:after="40"/>
        <w:ind w:left="400"/>
      </w:pPr>
      <w:r>
        <w:rPr>
          <w:sz w:val="21"/>
        </w:rPr>
        <w:t>目标语速 140 词 / 分钟，即正常的学术报告语速，不需要赶</w:t>
      </w:r>
    </w:p>
    <w:p>
      <w:pPr>
        <w:pStyle w:val="ListBullet"/>
        <w:spacing w:after="40"/>
        <w:ind w:left="400"/>
      </w:pPr>
      <w:r>
        <w:rPr>
          <w:sz w:val="21"/>
        </w:rPr>
        <w:t>每页讲完后停顿约 3 秒再切下一页，给观众消化时间，也方便后期剪辑</w:t>
      </w:r>
    </w:p>
    <w:p>
      <w:pPr>
        <w:pStyle w:val="ListBullet"/>
        <w:spacing w:after="40"/>
        <w:ind w:left="400"/>
      </w:pPr>
      <w:r>
        <w:rPr>
          <w:sz w:val="21"/>
        </w:rPr>
        <w:t>三处需要刻意停顿：第 3 页立论句前、第 6 页数字之后、第 7 页 4.5 pp 之后</w:t>
      </w:r>
    </w:p>
    <w:p>
      <w:pPr>
        <w:spacing w:after="80" w:line="360" w:lineRule="auto"/>
      </w:pPr>
      <w:r>
        <w:rPr>
          <w:b/>
          <w:i w:val="0"/>
          <w:sz w:val="23"/>
        </w:rPr>
        <w:t>分段录制</w:t>
      </w:r>
    </w:p>
    <w:p>
      <w:pPr>
        <w:pStyle w:val="ListBullet"/>
        <w:spacing w:after="40"/>
        <w:ind w:left="400"/>
      </w:pPr>
      <w:r>
        <w:rPr>
          <w:sz w:val="21"/>
        </w:rPr>
        <w:t>一页录一段，命名为 p01.mp4 … p10.mp4</w:t>
      </w:r>
    </w:p>
    <w:p>
      <w:pPr>
        <w:pStyle w:val="ListBullet"/>
        <w:spacing w:after="40"/>
        <w:ind w:left="400"/>
      </w:pPr>
      <w:r>
        <w:rPr>
          <w:sz w:val="21"/>
        </w:rPr>
        <w:t>录错只需重录那一页，不必从头再来</w:t>
      </w:r>
    </w:p>
    <w:p>
      <w:pPr>
        <w:pStyle w:val="ListBullet"/>
        <w:spacing w:after="40"/>
        <w:ind w:left="400"/>
      </w:pPr>
      <w:r>
        <w:rPr>
          <w:sz w:val="21"/>
        </w:rPr>
        <w:t>最后用 ffmpeg 拼接：</w:t>
      </w:r>
    </w:p>
    <w:p>
      <w:pPr>
        <w:spacing w:before="60" w:after="100" w:line="276" w:lineRule="auto"/>
        <w:ind w:left="320"/>
      </w:pPr>
      <w:r>
        <w:rPr>
          <w:rFonts w:ascii="Consolas" w:hAnsi="Consolas"/>
          <w:color w:val="444444"/>
          <w:sz w:val="18"/>
        </w:rPr>
        <w:t># 先写文件清单</w:t>
        <w:br/>
        <w:t>for i in $(seq -w 1 10); do echo "file 'p$i.mp4'"; done &gt; list.txt</w:t>
        <w:br/>
        <w:t># 拼接</w:t>
        <w:br/>
        <w:t>ffmpeg -f concat -safe 0 -i list.txt -c copy merged.mp4</w:t>
      </w:r>
    </w:p>
    <w:p>
      <w:pPr>
        <w:spacing w:after="80" w:line="360" w:lineRule="auto"/>
      </w:pPr>
      <w:r>
        <w:rPr>
          <w:b/>
          <w:i w:val="0"/>
          <w:sz w:val="23"/>
        </w:rPr>
        <w:t>音频要求</w:t>
      </w:r>
    </w:p>
    <w:p>
      <w:pPr>
        <w:pStyle w:val="ListBullet"/>
        <w:spacing w:after="40"/>
        <w:ind w:left="400"/>
      </w:pPr>
      <w:r>
        <w:rPr>
          <w:sz w:val="21"/>
        </w:rPr>
        <w:t>会务方会在线下 session 现场播放视频，音质比画面更重要</w:t>
      </w:r>
    </w:p>
    <w:p>
      <w:pPr>
        <w:pStyle w:val="ListBullet"/>
        <w:spacing w:after="40"/>
        <w:ind w:left="400"/>
      </w:pPr>
      <w:r>
        <w:rPr>
          <w:sz w:val="21"/>
        </w:rPr>
        <w:t>使用耳机麦克风或外接麦，不要用笔记本内置麦克风</w:t>
      </w:r>
    </w:p>
    <w:p>
      <w:pPr>
        <w:pStyle w:val="ListBullet"/>
        <w:spacing w:after="40"/>
        <w:ind w:left="400"/>
      </w:pPr>
      <w:r>
        <w:rPr>
          <w:sz w:val="21"/>
        </w:rPr>
        <w:t>选安静时段录制，关闭风扇、通知提示音</w:t>
      </w:r>
    </w:p>
    <w:p>
      <w:pPr>
        <w:pStyle w:val="ListBullet"/>
        <w:spacing w:after="40"/>
        <w:ind w:left="400"/>
      </w:pPr>
      <w:r>
        <w:rPr>
          <w:sz w:val="21"/>
        </w:rPr>
        <w:t>录完先戴耳机全程听一遍，确认无爆音、无明显底噪</w:t>
      </w:r>
    </w:p>
    <w:p>
      <w:pPr>
        <w:spacing w:after="80" w:line="360" w:lineRule="auto"/>
      </w:pPr>
      <w:r>
        <w:rPr>
          <w:b/>
          <w:i w:val="0"/>
          <w:sz w:val="23"/>
        </w:rPr>
        <w:t>压缩与自检</w:t>
      </w:r>
    </w:p>
    <w:p>
      <w:pPr>
        <w:spacing w:before="60" w:after="100" w:line="276" w:lineRule="auto"/>
        <w:ind w:left="320"/>
      </w:pPr>
      <w:r>
        <w:rPr>
          <w:rFonts w:ascii="Consolas" w:hAnsi="Consolas"/>
          <w:color w:val="444444"/>
          <w:sz w:val="18"/>
        </w:rPr>
        <w:t>ffmpeg -i merged.mp4 -c:v libx264 -preset slow -crf 26 \</w:t>
        <w:br/>
        <w:t xml:space="preserve">  -vf scale=1280:720 -r 30 -c:a aac -b:a 96k \</w:t>
        <w:br/>
        <w:t xml:space="preserve">  105_Video.mp4</w:t>
        <w:br/>
        <w:br/>
        <w:t>ls -lh 105_Video.mp4</w:t>
        <w:br/>
        <w:t>ffprobe -v error -show_entries format=duration 105_Video.mp4</w:t>
      </w:r>
    </w:p>
    <w:p>
      <w:pPr>
        <w:spacing w:before="280" w:after="120"/>
      </w:pPr>
      <w:r>
        <w:rPr>
          <w:rFonts w:ascii="Times New Roman" w:hAnsi="Times New Roman" w:eastAsia="微软雅黑"/>
          <w:b/>
          <w:color w:val="1F4E79"/>
          <w:sz w:val="30"/>
        </w:rPr>
        <w:t>提交信息</w:t>
      </w:r>
    </w:p>
    <w:tbl>
      <w:tblPr>
        <w:tblStyle w:val="LightGrid-Accent1"/>
        <w:tblW w:type="auto" w:w="0"/>
        <w:jc w:val="center"/>
        <w:tblLook w:firstColumn="1" w:firstRow="1" w:lastColumn="0" w:lastRow="0" w:noHBand="0" w:noVBand="1" w:val="04A0"/>
      </w:tblPr>
      <w:tblGrid>
        <w:gridCol w:w="4873"/>
        <w:gridCol w:w="4873"/>
      </w:tblGrid>
      <w:tr>
        <w:tc>
          <w:tcPr>
            <w:tcW w:type="dxa" w:w="4873"/>
          </w:tcPr>
          <w:p>
            <w:r/>
            <w:r>
              <w:rPr>
                <w:b/>
                <w:sz w:val="19"/>
              </w:rPr>
              <w:t>项目</w:t>
            </w:r>
          </w:p>
        </w:tc>
        <w:tc>
          <w:tcPr>
            <w:tcW w:type="dxa" w:w="4873"/>
          </w:tcPr>
          <w:p>
            <w:r/>
            <w:r>
              <w:rPr>
                <w:b/>
                <w:sz w:val="19"/>
              </w:rPr>
              <w:t>内容</w:t>
            </w:r>
          </w:p>
        </w:tc>
      </w:tr>
      <w:tr>
        <w:tc>
          <w:tcPr>
            <w:tcW w:type="dxa" w:w="4873"/>
          </w:tcPr>
          <w:p>
            <w:r/>
            <w:r>
              <w:rPr>
                <w:sz w:val="19"/>
              </w:rPr>
              <w:t>文件名</w:t>
            </w:r>
          </w:p>
        </w:tc>
        <w:tc>
          <w:tcPr>
            <w:tcW w:type="dxa" w:w="4873"/>
          </w:tcPr>
          <w:p>
            <w:r/>
            <w:r>
              <w:rPr>
                <w:sz w:val="19"/>
              </w:rPr>
              <w:t>105_Video.mp4</w:t>
            </w:r>
          </w:p>
        </w:tc>
      </w:tr>
      <w:tr>
        <w:tc>
          <w:tcPr>
            <w:tcW w:type="dxa" w:w="4873"/>
          </w:tcPr>
          <w:p>
            <w:r/>
            <w:r>
              <w:rPr>
                <w:sz w:val="19"/>
              </w:rPr>
              <w:t>格式</w:t>
            </w:r>
          </w:p>
        </w:tc>
        <w:tc>
          <w:tcPr>
            <w:tcW w:type="dxa" w:w="4873"/>
          </w:tcPr>
          <w:p>
            <w:r/>
            <w:r>
              <w:rPr>
                <w:sz w:val="19"/>
              </w:rPr>
              <w:t>MP4 · 16:9 · ≤ 50 MB · ≤ 5 分钟</w:t>
            </w:r>
          </w:p>
        </w:tc>
      </w:tr>
      <w:tr>
        <w:tc>
          <w:tcPr>
            <w:tcW w:type="dxa" w:w="4873"/>
          </w:tcPr>
          <w:p>
            <w:r/>
            <w:r>
              <w:rPr>
                <w:sz w:val="19"/>
              </w:rPr>
              <w:t>收件邮箱</w:t>
            </w:r>
          </w:p>
        </w:tc>
        <w:tc>
          <w:tcPr>
            <w:tcW w:type="dxa" w:w="4873"/>
          </w:tcPr>
          <w:p>
            <w:r/>
            <w:r>
              <w:rPr>
                <w:sz w:val="19"/>
              </w:rPr>
              <w:t>isair_video@126.com</w:t>
            </w:r>
          </w:p>
        </w:tc>
      </w:tr>
      <w:tr>
        <w:tc>
          <w:tcPr>
            <w:tcW w:type="dxa" w:w="4873"/>
          </w:tcPr>
          <w:p>
            <w:r/>
            <w:r>
              <w:rPr>
                <w:sz w:val="19"/>
              </w:rPr>
              <w:t>邮件主题</w:t>
            </w:r>
          </w:p>
        </w:tc>
        <w:tc>
          <w:tcPr>
            <w:tcW w:type="dxa" w:w="4873"/>
          </w:tcPr>
          <w:p>
            <w:r/>
            <w:r>
              <w:rPr>
                <w:sz w:val="19"/>
              </w:rPr>
              <w:t>ISAIR 2026 Video Submission_105</w:t>
            </w:r>
          </w:p>
        </w:tc>
      </w:tr>
      <w:tr>
        <w:tc>
          <w:tcPr>
            <w:tcW w:type="dxa" w:w="4873"/>
          </w:tcPr>
          <w:p>
            <w:r/>
            <w:r>
              <w:rPr>
                <w:sz w:val="19"/>
              </w:rPr>
              <w:t>截止日期</w:t>
            </w:r>
          </w:p>
        </w:tc>
        <w:tc>
          <w:tcPr>
            <w:tcW w:type="dxa" w:w="4873"/>
          </w:tcPr>
          <w:p>
            <w:r/>
            <w:r>
              <w:rPr>
                <w:sz w:val="19"/>
              </w:rPr>
              <w:t>2026 年 8 月 18 日</w:t>
            </w:r>
          </w:p>
        </w:tc>
      </w:tr>
    </w:tbl>
    <w:p>
      <w:pPr>
        <w:spacing w:after="40"/>
      </w:pPr>
    </w:p>
    <w:p/>
    <w:p>
      <w:pPr>
        <w:jc w:val="center"/>
      </w:pPr>
      <w:r>
        <w:rPr>
          <w:color w:val="888888"/>
          <w:sz w:val="18"/>
        </w:rPr>
        <w:t>小小叶 · 2026-08-13</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80"/>
    </w:pPr>
    <w:rPr>
      <w:rFonts w:ascii="Times New Roman" w:hAnsi="Times New Roman" w:eastAsia="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