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8"/>
        </w:rPr>
        <w:t>演示视频 PPT · 核对清单</w:t>
      </w:r>
    </w:p>
    <w:p>
      <w:pPr>
        <w:jc w:val="center"/>
      </w:pPr>
      <w:r>
        <w:rPr>
          <w:color w:val="666666"/>
          <w:sz w:val="21"/>
        </w:rPr>
        <w:t>ISAIR 2026 · Paper ID 105</w:t>
        <w:br/>
        <w:t>Scale-Specialized Directional-Channel Attention for Tunnel Defect Detection</w:t>
      </w:r>
    </w:p>
    <w:p>
      <w:pPr>
        <w:jc w:val="center"/>
      </w:pPr>
      <w:r>
        <w:rPr>
          <w:b/>
          <w:color w:val="C00000"/>
          <w:sz w:val="21"/>
        </w:rPr>
        <w:t>视频提交截止：2026 年 8 月 18 日　|　核对日期：2026-08-13</w:t>
      </w:r>
    </w:p>
    <w:p/>
    <w:p>
      <w:pPr>
        <w:spacing w:before="260" w:after="120"/>
      </w:pPr>
      <w:r>
        <w:rPr>
          <w:rFonts w:ascii="Times New Roman" w:hAnsi="Times New Roman" w:eastAsia="微软雅黑"/>
          <w:b/>
          <w:color w:val="1F4E79"/>
          <w:sz w:val="30"/>
        </w:rPr>
        <w:t>核对结论摘要</w:t>
      </w:r>
    </w:p>
    <w:p>
      <w:pPr>
        <w:spacing w:after="120"/>
      </w:pPr>
      <w:r>
        <w:rPr>
          <w:b w:val="0"/>
          <w:i w:val="0"/>
          <w:sz w:val="21"/>
        </w:rPr>
        <w:t>PPT 整体质量高：16:9 比例正确、10 页、字号充足、每页均写有英文演讲者备注、含数据集许可署名与基金致谢。以下为需要处理的问题，按优先级排列。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19"/>
              </w:rPr>
              <w:t>优先级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位置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问题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处理方式</w:t>
            </w:r>
          </w:p>
        </w:tc>
      </w:tr>
      <w:tr>
        <w:tc>
          <w:tcPr>
            <w:tcW w:type="dxa" w:w="2436"/>
          </w:tcPr>
          <w:p>
            <w:r/>
            <w:r>
              <w:rPr>
                <w:b/>
                <w:sz w:val="19"/>
              </w:rPr>
              <w:t>必改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P7 底部小字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统计检验方法与论文不一致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19"/>
              </w:rPr>
              <w:t>删除该行，或改为 sign test 口径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需核对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P10 致谢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基金号位数可能有误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与批准书原文逐位核对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需核对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P4 公式区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A_s 下标渲染是否正常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放映模式下目视确认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19"/>
              </w:rPr>
              <w:t>需控制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全篇备注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口播约 640 词，接近 5 分钟上限</w:t>
            </w:r>
          </w:p>
        </w:tc>
        <w:tc>
          <w:tcPr>
            <w:tcW w:type="dxa" w:w="2436"/>
          </w:tcPr>
          <w:p>
            <w:r/>
            <w:r>
              <w:rPr>
                <w:sz w:val="19"/>
              </w:rPr>
              <w:t>通读计时，必要时精简</w:t>
            </w:r>
          </w:p>
        </w:tc>
      </w:tr>
    </w:tbl>
    <w:p>
      <w:pPr>
        <w:spacing w:after="40"/>
      </w:pPr>
    </w:p>
    <w:p>
      <w:pPr>
        <w:spacing w:before="260" w:after="120"/>
      </w:pPr>
      <w:r>
        <w:rPr>
          <w:rFonts w:ascii="Times New Roman" w:hAnsi="Times New Roman" w:eastAsia="微软雅黑"/>
          <w:b/>
          <w:color w:val="C00000"/>
          <w:sz w:val="30"/>
        </w:rPr>
        <w:t>一、必改：P7 统计检验表述与论文不一致</w:t>
      </w:r>
    </w:p>
    <w:p>
      <w:pPr>
        <w:spacing w:after="80"/>
      </w:pPr>
      <w:r>
        <w:rPr>
          <w:b/>
          <w:i w:val="0"/>
          <w:sz w:val="21"/>
        </w:rPr>
        <w:t>当前 PPT P7 底部小字写的是：</w:t>
      </w:r>
    </w:p>
    <w:p>
      <w:pPr>
        <w:spacing w:before="60" w:after="100" w:line="276" w:lineRule="auto"/>
        <w:ind w:left="320"/>
      </w:pPr>
      <w:r>
        <w:rPr>
          <w:rFonts w:ascii="Consolas" w:hAnsi="Consolas"/>
          <w:color w:val="C00000"/>
          <w:sz w:val="18"/>
        </w:rPr>
        <w:t>paired t-test, p &lt; 0.05 · 5 seeds</w:t>
      </w:r>
    </w:p>
    <w:p>
      <w:pPr>
        <w:spacing w:after="80"/>
      </w:pPr>
      <w:r>
        <w:rPr>
          <w:b/>
          <w:i w:val="0"/>
          <w:sz w:val="21"/>
        </w:rPr>
        <w:t>论文原文的口径是：</w:t>
      </w:r>
    </w:p>
    <w:p>
      <w:pPr>
        <w:spacing w:before="60" w:after="100" w:line="276" w:lineRule="auto"/>
        <w:ind w:left="320"/>
      </w:pPr>
      <w:r>
        <w:rPr>
          <w:rFonts w:ascii="Consolas" w:hAnsi="Consolas"/>
          <w:color w:val="2E753F"/>
          <w:sz w:val="18"/>
        </w:rPr>
        <w:t>sign test p = 0.031  （见 Abstract 与 PPT P6）</w:t>
      </w:r>
    </w:p>
    <w:p>
      <w:pPr>
        <w:spacing w:after="40"/>
      </w:pPr>
      <w:r>
        <w:rPr>
          <w:b/>
          <w:i w:val="0"/>
          <w:sz w:val="21"/>
        </w:rPr>
        <w:t>存在两个层面的偏差：</w:t>
      </w:r>
    </w:p>
    <w:p>
      <w:pPr>
        <w:pStyle w:val="ListBullet"/>
        <w:spacing w:after="40"/>
        <w:ind w:left="360"/>
      </w:pPr>
      <w:r>
        <w:rPr>
          <w:sz w:val="21"/>
        </w:rPr>
        <w:t>检验方法不同：论文使用 sign test（符号检验，非参数方法），PPT 写成了 paired t-test（配对 t 检验，参数方法）</w:t>
      </w:r>
    </w:p>
    <w:p>
      <w:pPr>
        <w:pStyle w:val="ListBullet"/>
        <w:spacing w:after="40"/>
        <w:ind w:left="360"/>
      </w:pPr>
      <w:r>
        <w:rPr>
          <w:sz w:val="21"/>
        </w:rPr>
        <w:t>比较对象不同：论文中的 p = 0.031 是 SSDCA 与 baseline 的比较结果，而 P7 想说明的是 Reversed 与 SSDCA 之间的差异</w:t>
      </w:r>
    </w:p>
    <w:p>
      <w:pPr>
        <w:spacing w:after="40"/>
      </w:pPr>
      <w:r>
        <w:rPr>
          <w:b/>
          <w:i w:val="0"/>
          <w:sz w:val="21"/>
        </w:rPr>
        <w:t>为什么这条风险较高：</w:t>
      </w:r>
    </w:p>
    <w:p>
      <w:pPr>
        <w:spacing w:after="80"/>
        <w:ind w:left="280"/>
      </w:pPr>
      <w:r>
        <w:rPr>
          <w:b w:val="0"/>
          <w:i w:val="0"/>
          <w:sz w:val="21"/>
        </w:rPr>
        <w:t>论文 Limitations 中已说明验证集偏小、种子间方差 σ ≈ 0.04。而消融数据中，Reversed 为 0.7383 ± 0.039，SSDCA 为 0.7831 ± 0.046，两者标准差均大于 4.5 pp 的差距。在这种情况下声称 p &lt; 0.05 缺乏支撑，容易被听众或评审直接质疑。</w:t>
      </w:r>
    </w:p>
    <w:p>
      <w:pPr>
        <w:spacing w:after="40"/>
      </w:pPr>
      <w:r>
        <w:rPr>
          <w:b/>
          <w:i w:val="0"/>
          <w:sz w:val="21"/>
        </w:rPr>
        <w:t>两种处理方式：</w:t>
      </w:r>
    </w:p>
    <w:p>
      <w:pPr>
        <w:spacing w:after="80"/>
        <w:ind w:left="280"/>
      </w:pPr>
      <w:r>
        <w:rPr>
          <w:b/>
          <w:i w:val="0"/>
          <w:sz w:val="21"/>
        </w:rPr>
        <w:t>方式 A（推荐，最安全）</w:t>
      </w:r>
    </w:p>
    <w:p>
      <w:pPr>
        <w:spacing w:after="80"/>
        <w:ind w:left="560"/>
      </w:pPr>
      <w:r>
        <w:rPr>
          <w:b w:val="0"/>
          <w:i w:val="0"/>
          <w:sz w:val="21"/>
        </w:rPr>
        <w:t>直接删除这一行统计说明，仅保留 “Reversed drops 4.5 pp”。4.5 pp 的差距本身已具备说服力，无需附加显著性声明。</w:t>
      </w:r>
    </w:p>
    <w:p>
      <w:pPr>
        <w:spacing w:after="80"/>
        <w:ind w:left="280"/>
      </w:pPr>
      <w:r>
        <w:rPr>
          <w:b/>
          <w:i w:val="0"/>
          <w:sz w:val="21"/>
        </w:rPr>
        <w:t>方式 B（仅在确实做过该检验时使用）</w:t>
      </w:r>
    </w:p>
    <w:p>
      <w:pPr>
        <w:spacing w:after="80"/>
        <w:ind w:left="560"/>
      </w:pPr>
      <w:r>
        <w:rPr>
          <w:b w:val="0"/>
          <w:i w:val="0"/>
          <w:sz w:val="21"/>
        </w:rPr>
        <w:t>改为与论文完全一致的口径：</w:t>
      </w:r>
    </w:p>
    <w:p>
      <w:pPr>
        <w:spacing w:before="60" w:after="100" w:line="276" w:lineRule="auto"/>
        <w:ind w:left="320"/>
      </w:pPr>
      <w:r>
        <w:rPr>
          <w:rFonts w:ascii="Consolas" w:hAnsi="Consolas"/>
          <w:color w:val="444444"/>
          <w:sz w:val="18"/>
        </w:rPr>
        <w:t>sign test, p = 0.031 · 5 seeds</w:t>
      </w:r>
    </w:p>
    <w:p>
      <w:pPr>
        <w:spacing w:after="80"/>
        <w:ind w:left="560"/>
      </w:pPr>
      <w:r>
        <w:rPr>
          <w:b w:val="0"/>
          <w:i w:val="0"/>
          <w:sz w:val="21"/>
        </w:rPr>
        <w:t>并确认该 p 值对应的确实是 Reversed 与 SSDCA 的比较，而非与 baseline 的比较。</w:t>
      </w:r>
    </w:p>
    <w:p>
      <w:pPr>
        <w:spacing w:before="260" w:after="120"/>
      </w:pPr>
      <w:r>
        <w:rPr>
          <w:rFonts w:ascii="Times New Roman" w:hAnsi="Times New Roman" w:eastAsia="微软雅黑"/>
          <w:b/>
          <w:color w:val="BF6F00"/>
          <w:sz w:val="30"/>
        </w:rPr>
        <w:t>二、需核对：P10 基金号位数</w:t>
      </w:r>
    </w:p>
    <w:p>
      <w:pPr>
        <w:spacing w:after="80"/>
      </w:pPr>
      <w:r>
        <w:rPr>
          <w:b/>
          <w:i w:val="0"/>
          <w:sz w:val="21"/>
        </w:rPr>
        <w:t>当前 PPT P10 写的是：</w:t>
      </w:r>
    </w:p>
    <w:p>
      <w:pPr>
        <w:spacing w:before="60" w:after="100" w:line="276" w:lineRule="auto"/>
        <w:ind w:left="320"/>
      </w:pPr>
      <w:r>
        <w:rPr>
          <w:rFonts w:ascii="Consolas" w:hAnsi="Consolas"/>
          <w:color w:val="BF6F00"/>
          <w:sz w:val="18"/>
        </w:rPr>
        <w:t>Supported by Guangxi Natural Science Foundation</w:t>
        <w:br/>
        <w:t>(Grant No. 2026GXNSFBA00640043)</w:t>
      </w:r>
    </w:p>
    <w:p>
      <w:pPr>
        <w:spacing w:after="40"/>
      </w:pPr>
      <w:r>
        <w:rPr>
          <w:b/>
          <w:i w:val="0"/>
          <w:sz w:val="21"/>
        </w:rPr>
        <w:t>疑点说明：</w:t>
      </w:r>
    </w:p>
    <w:p>
      <w:pPr>
        <w:pStyle w:val="ListBullet"/>
        <w:spacing w:after="40"/>
        <w:ind w:left="360"/>
      </w:pPr>
      <w:r>
        <w:rPr>
          <w:sz w:val="21"/>
        </w:rPr>
        <w:t>广西自然科学基金常见编号格式为：4 位年份 + GXNSF + 2 位字母 + 6 位数字</w:t>
      </w:r>
    </w:p>
    <w:p>
      <w:pPr>
        <w:pStyle w:val="ListBullet"/>
        <w:spacing w:after="40"/>
        <w:ind w:left="360"/>
      </w:pPr>
      <w:r>
        <w:rPr>
          <w:sz w:val="21"/>
        </w:rPr>
        <w:t>参照 iCoLoc 论文中使用的编号：2025GXNSFAA069551（末段为 6 位数字）</w:t>
      </w:r>
    </w:p>
    <w:p>
      <w:pPr>
        <w:pStyle w:val="ListBullet"/>
        <w:spacing w:after="40"/>
        <w:ind w:left="360"/>
      </w:pPr>
      <w:r>
        <w:rPr>
          <w:sz w:val="21"/>
        </w:rPr>
        <w:t>当前编号末段 00640043 为 8 位数字，比常见格式多出两位</w:t>
      </w:r>
    </w:p>
    <w:p>
      <w:pPr>
        <w:spacing w:after="40"/>
      </w:pPr>
      <w:r>
        <w:rPr>
          <w:b/>
          <w:i w:val="0"/>
          <w:sz w:val="21"/>
        </w:rPr>
        <w:t>核对方法：</w:t>
      </w:r>
    </w:p>
    <w:p>
      <w:pPr>
        <w:pStyle w:val="ListBullet"/>
        <w:spacing w:after="40"/>
        <w:ind w:left="360"/>
      </w:pPr>
      <w:r>
        <w:rPr>
          <w:sz w:val="21"/>
        </w:rPr>
        <w:t>取出基金批准书或立项通知原件，逐位比对</w:t>
      </w:r>
    </w:p>
    <w:p>
      <w:pPr>
        <w:pStyle w:val="ListBullet"/>
        <w:spacing w:after="40"/>
        <w:ind w:left="360"/>
      </w:pPr>
      <w:r>
        <w:rPr>
          <w:sz w:val="21"/>
        </w:rPr>
        <w:t>或向该项目负责老师确认完整编号</w:t>
      </w:r>
    </w:p>
    <w:p>
      <w:pPr>
        <w:pStyle w:val="ListBullet"/>
        <w:spacing w:after="40"/>
        <w:ind w:left="360"/>
      </w:pPr>
      <w:r>
        <w:rPr>
          <w:sz w:val="21"/>
        </w:rPr>
        <w:t>同时确认基金名称的英文译法是否与课题组既往论文一致</w:t>
      </w:r>
    </w:p>
    <w:p>
      <w:pPr>
        <w:spacing w:after="80"/>
        <w:ind w:left="280"/>
      </w:pPr>
      <w:r>
        <w:rPr>
          <w:b w:val="0"/>
          <w:i w:val="0"/>
          <w:color w:val="C00000"/>
          <w:sz w:val="21"/>
        </w:rPr>
        <w:t>正式出版物中基金号写错较难更正，且涉及项目结题材料，建议务必逐位核实。</w:t>
      </w:r>
    </w:p>
    <w:p>
      <w:pPr>
        <w:spacing w:before="260" w:after="120"/>
      </w:pPr>
      <w:r>
        <w:rPr>
          <w:rFonts w:ascii="Times New Roman" w:hAnsi="Times New Roman" w:eastAsia="微软雅黑"/>
          <w:b/>
          <w:color w:val="BF6F00"/>
          <w:sz w:val="30"/>
        </w:rPr>
        <w:t>三、需核对：P4 公式下标渲染</w:t>
      </w:r>
    </w:p>
    <w:p>
      <w:pPr>
        <w:spacing w:after="80"/>
      </w:pPr>
      <w:r>
        <w:rPr>
          <w:b/>
          <w:i w:val="0"/>
          <w:sz w:val="21"/>
        </w:rPr>
        <w:t>涉及的三处内容：</w:t>
      </w:r>
    </w:p>
    <w:p>
      <w:pPr>
        <w:spacing w:before="60" w:after="100" w:line="276" w:lineRule="auto"/>
        <w:ind w:left="320"/>
      </w:pPr>
      <w:r>
        <w:rPr>
          <w:rFonts w:ascii="Consolas" w:hAnsi="Consolas"/>
          <w:color w:val="444444"/>
          <w:sz w:val="18"/>
        </w:rPr>
        <w:t>A_s</w:t>
        <w:br/>
        <w:t>X' = X ⊙ A_s</w:t>
        <w:br/>
        <w:t>A_s = σ( Conv_1×1( [ DW_h ; DW_v ; DW_d1 ; DW_d2 ] ) )</w:t>
      </w:r>
    </w:p>
    <w:p>
      <w:pPr>
        <w:spacing w:after="40"/>
      </w:pPr>
      <w:r>
        <w:rPr>
          <w:b/>
          <w:i w:val="0"/>
          <w:sz w:val="21"/>
        </w:rPr>
        <w:t>问题说明：</w:t>
      </w:r>
    </w:p>
    <w:p>
      <w:pPr>
        <w:spacing w:after="80"/>
        <w:ind w:left="280"/>
      </w:pPr>
      <w:r>
        <w:rPr>
          <w:b w:val="0"/>
          <w:i w:val="0"/>
          <w:sz w:val="21"/>
        </w:rPr>
        <w:t>从文件结构看，下标是通过混排两种字号实现的（13.5 pt 与 12 pt）。这种做法在编辑视图中通常正常，但需确认放映及录屏后是否仍呈现为正确的下标形式，而不是被误读成英文单词 As。</w:t>
      </w:r>
    </w:p>
    <w:p>
      <w:pPr>
        <w:spacing w:after="40"/>
      </w:pPr>
      <w:r>
        <w:rPr>
          <w:b/>
          <w:i w:val="0"/>
          <w:sz w:val="21"/>
        </w:rPr>
        <w:t>核对方法：</w:t>
      </w:r>
    </w:p>
    <w:p>
      <w:pPr>
        <w:pStyle w:val="ListBullet"/>
        <w:spacing w:after="40"/>
        <w:ind w:left="360"/>
      </w:pPr>
      <w:r>
        <w:rPr>
          <w:sz w:val="21"/>
        </w:rPr>
        <w:t>进入放映模式（F5），在实际投影尺寸下目视检查</w:t>
      </w:r>
    </w:p>
    <w:p>
      <w:pPr>
        <w:pStyle w:val="ListBullet"/>
        <w:spacing w:after="40"/>
        <w:ind w:left="360"/>
      </w:pPr>
      <w:r>
        <w:rPr>
          <w:sz w:val="21"/>
        </w:rPr>
        <w:t>确认 DW 的下标 h / v / d1 / d2 均位于基线以下且清晰可辨</w:t>
      </w:r>
    </w:p>
    <w:p>
      <w:pPr>
        <w:pStyle w:val="ListBullet"/>
        <w:spacing w:after="40"/>
        <w:ind w:left="360"/>
      </w:pPr>
      <w:r>
        <w:rPr>
          <w:sz w:val="21"/>
        </w:rPr>
        <w:t>若下标偏小或位置不正，将其改为图片形式插入，可避免跨设备渲染差异</w:t>
      </w:r>
    </w:p>
    <w:p>
      <w:pPr>
        <w:spacing w:before="260" w:after="120"/>
      </w:pPr>
      <w:r>
        <w:rPr>
          <w:rFonts w:ascii="Times New Roman" w:hAnsi="Times New Roman" w:eastAsia="微软雅黑"/>
          <w:b/>
          <w:color w:val="BF6F00"/>
          <w:sz w:val="30"/>
        </w:rPr>
        <w:t>四、需控制：口播时长接近上限</w:t>
      </w:r>
    </w:p>
    <w:p>
      <w:pPr>
        <w:spacing w:after="80"/>
      </w:pPr>
      <w:r>
        <w:rPr>
          <w:b/>
          <w:i w:val="0"/>
          <w:sz w:val="21"/>
        </w:rPr>
        <w:t>演讲者备注英文词数合计约 640 词。按常规演讲速度换算：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语速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预计时长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评估</w:t>
            </w:r>
          </w:p>
        </w:tc>
      </w:tr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130 词 / 分钟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约 4 分 55 秒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过于接近上限，风险高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140 词 / 分钟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约 4 分 34 秒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可接受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150 词 / 分钟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约 4 分 16 秒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安全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C00000"/>
          <w:sz w:val="21"/>
        </w:rPr>
        <w:t>组委会规定视频时长上限为 5 分钟，且明确说明超时可能不被接收。建议成片控制在 4 分 40 秒以内，预留缓冲。</w:t>
      </w:r>
    </w:p>
    <w:p>
      <w:pPr>
        <w:spacing w:after="40"/>
      </w:pPr>
      <w:r>
        <w:rPr>
          <w:b/>
          <w:i w:val="0"/>
          <w:sz w:val="21"/>
        </w:rPr>
        <w:t>若通读后超时，优先精简以下两页：</w:t>
      </w:r>
    </w:p>
    <w:p>
      <w:pPr>
        <w:pStyle w:val="ListBullet"/>
        <w:spacing w:after="40"/>
        <w:ind w:left="360"/>
      </w:pPr>
      <w:r>
        <w:rPr>
          <w:sz w:val="21"/>
        </w:rPr>
        <w:t>P3（现约 4 句）：可合并 “P3 保留空间细节” 与 “P4 语义更强” 两句</w:t>
      </w:r>
    </w:p>
    <w:p>
      <w:pPr>
        <w:pStyle w:val="ListBullet"/>
        <w:spacing w:after="40"/>
        <w:ind w:left="360"/>
      </w:pPr>
      <w:r>
        <w:rPr>
          <w:sz w:val="21"/>
        </w:rPr>
        <w:t>P5（现约 4 句）：“Why not P5” 的解释可压缩为一句</w:t>
      </w:r>
    </w:p>
    <w:p>
      <w:pPr>
        <w:spacing w:after="80"/>
        <w:ind w:left="280"/>
      </w:pPr>
      <w:r>
        <w:rPr>
          <w:b w:val="0"/>
          <w:i w:val="0"/>
          <w:color w:val="C00000"/>
          <w:sz w:val="21"/>
        </w:rPr>
        <w:t>不要压缩 P7，该页是全篇最核心的证据，需要留出停顿时间。</w:t>
      </w:r>
    </w:p>
    <w:p>
      <w:pPr>
        <w:spacing w:before="260" w:after="120"/>
      </w:pPr>
      <w:r>
        <w:rPr>
          <w:rFonts w:ascii="Times New Roman" w:hAnsi="Times New Roman" w:eastAsia="微软雅黑"/>
          <w:b/>
          <w:color w:val="2E753F"/>
          <w:sz w:val="30"/>
        </w:rPr>
        <w:t>五、已确认合规项（无需处理）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  <w:sz w:val="19"/>
              </w:rPr>
              <w:t>检查项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实测结果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19"/>
              </w:rPr>
              <w:t>结论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幻灯片尺寸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13.33 × 7.5 英寸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16:9 精确符合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页数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10 页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符合设计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标题字号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31.5 – 60 pt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充足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正文字号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15 – 24 pt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视频压缩后可辨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页脚标识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每页含会议名 + Paper ID + 页码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规范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演讲者备注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10 页全部撰写英文口播稿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完备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数据集署名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P2 标注 tunnel-bc13x (CC BY 4.0)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合规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基金致谢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P10 已列出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存在（编号待核）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19"/>
              </w:rPr>
              <w:t>数据一致性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P6 / P7 数值与论文一致</w:t>
            </w:r>
          </w:p>
        </w:tc>
        <w:tc>
          <w:tcPr>
            <w:tcW w:type="dxa" w:w="3249"/>
          </w:tcPr>
          <w:p>
            <w:r/>
            <w:r>
              <w:rPr>
                <w:sz w:val="19"/>
              </w:rPr>
              <w:t>一致</w:t>
            </w:r>
          </w:p>
        </w:tc>
      </w:tr>
    </w:tbl>
    <w:p>
      <w:pPr>
        <w:spacing w:after="40"/>
      </w:pPr>
    </w:p>
    <w:p>
      <w:pPr>
        <w:spacing w:before="260" w:after="120"/>
      </w:pPr>
      <w:r>
        <w:rPr>
          <w:rFonts w:ascii="Times New Roman" w:hAnsi="Times New Roman" w:eastAsia="微软雅黑"/>
          <w:b/>
          <w:color w:val="1F4E79"/>
          <w:sz w:val="30"/>
        </w:rPr>
        <w:t>六、录制与提交前检查清单</w:t>
      </w:r>
    </w:p>
    <w:p>
      <w:pPr>
        <w:spacing w:after="80"/>
      </w:pPr>
      <w:r>
        <w:rPr>
          <w:b/>
          <w:i w:val="0"/>
          <w:sz w:val="23"/>
        </w:rPr>
        <w:t>录制前</w:t>
      </w:r>
    </w:p>
    <w:tbl>
      <w:tblPr>
        <w:tblStyle w:val="LightList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19"/>
              </w:rPr>
              <w:t>检查项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P7 统计检验表述已删除或已改为 sign test 口径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P10 基金号已与批准书逐位核对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P4 下标在放映模式下显示正常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备注全文已通读计时，用时 ≤ 4 分 40 秒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所有数值与论文终稿一致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录音环境安静，使用外接或耳机麦克风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sz w:val="23"/>
        </w:rPr>
        <w:t>提交前</w:t>
      </w:r>
    </w:p>
    <w:tbl>
      <w:tblPr>
        <w:tblStyle w:val="LightList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4873"/>
          </w:tcPr>
          <w:p>
            <w:r/>
            <w:r>
              <w:rPr>
                <w:b/>
                <w:sz w:val="19"/>
              </w:rPr>
              <w:t>检查项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视频时长 ≤ 5 分钟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文件大小 ≤ 50 MB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格式为 MP4，宽高比 16:9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文件名为 105_Video.mp4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音频清晰，无杂音、无爆音、音量适中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邮件主题为 ISAIR 2026 Video Submission_105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发送至 isair_video@126.com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19"/>
              </w:rPr>
              <w:t>□</w:t>
            </w:r>
          </w:p>
        </w:tc>
        <w:tc>
          <w:tcPr>
            <w:tcW w:type="dxa" w:w="4873"/>
          </w:tcPr>
          <w:p>
            <w:r/>
            <w:r>
              <w:rPr>
                <w:sz w:val="19"/>
              </w:rPr>
              <w:t>在 2026 年 8 月 18 日之前发出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sz w:val="21"/>
        </w:rPr>
        <w:t>压缩命令参考：</w:t>
      </w:r>
    </w:p>
    <w:p>
      <w:pPr>
        <w:spacing w:before="60" w:after="100" w:line="276" w:lineRule="auto"/>
        <w:ind w:left="320"/>
      </w:pPr>
      <w:r>
        <w:rPr>
          <w:rFonts w:ascii="Consolas" w:hAnsi="Consolas"/>
          <w:color w:val="444444"/>
          <w:sz w:val="18"/>
        </w:rPr>
        <w:t>ffmpeg -i input.mp4 -c:v libx264 -preset slow -crf 26 \</w:t>
        <w:br/>
        <w:t xml:space="preserve">  -vf scale=1280:720 -r 30 -c:a aac -b:a 96k \</w:t>
        <w:br/>
        <w:t xml:space="preserve">  105_Video.mp4</w:t>
      </w:r>
    </w:p>
    <w:p>
      <w:pPr>
        <w:spacing w:after="80"/>
      </w:pPr>
      <w:r>
        <w:rPr>
          <w:b/>
          <w:i w:val="0"/>
          <w:sz w:val="21"/>
        </w:rPr>
        <w:t>自检命令：</w:t>
      </w:r>
    </w:p>
    <w:p>
      <w:pPr>
        <w:spacing w:before="60" w:after="100" w:line="276" w:lineRule="auto"/>
        <w:ind w:left="320"/>
      </w:pPr>
      <w:r>
        <w:rPr>
          <w:rFonts w:ascii="Consolas" w:hAnsi="Consolas"/>
          <w:color w:val="444444"/>
          <w:sz w:val="18"/>
        </w:rPr>
        <w:t>ls -lh 105_Video.mp4</w:t>
        <w:br/>
        <w:t>ffprobe -v error -show_entries format=duration 105_Video.mp4</w:t>
      </w:r>
    </w:p>
    <w:p/>
    <w:p>
      <w:pPr>
        <w:jc w:val="center"/>
      </w:pPr>
      <w:r>
        <w:rPr>
          <w:color w:val="888888"/>
          <w:sz w:val="18"/>
        </w:rPr>
        <w:t>小小叶 · 2026-08-13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80"/>
    </w:pPr>
    <w:rPr>
      <w:rFonts w:ascii="Times New Roman" w:hAnsi="Times New Roman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